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61EC9F6D" w:rsidR="005B0404" w:rsidRPr="00506953" w:rsidRDefault="00A73425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</w:rPr>
              <w:t>S</w:t>
            </w:r>
            <w:r w:rsidRPr="00A73425">
              <w:rPr>
                <w:rFonts w:ascii="Arial" w:hAnsi="Arial" w:cs="Arial"/>
                <w:b/>
                <w:bCs/>
              </w:rPr>
              <w:t>estav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A73425">
              <w:rPr>
                <w:rFonts w:ascii="Arial" w:hAnsi="Arial" w:cs="Arial"/>
                <w:b/>
                <w:bCs/>
              </w:rPr>
              <w:t xml:space="preserve"> nábytku s vestavěnou ultrazvukovou myčkou a směšovačem dezinfekčního roztoku</w:t>
            </w:r>
            <w:bookmarkEnd w:id="0"/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2"/>
        <w:gridCol w:w="2343"/>
        <w:gridCol w:w="2124"/>
        <w:gridCol w:w="2691"/>
      </w:tblGrid>
      <w:tr w:rsidR="00450334" w14:paraId="7F6528BE" w14:textId="77777777" w:rsidTr="00450334">
        <w:trPr>
          <w:gridAfter w:val="3"/>
          <w:wAfter w:w="3950" w:type="pct"/>
        </w:trPr>
        <w:tc>
          <w:tcPr>
            <w:tcW w:w="1050" w:type="pct"/>
            <w:shd w:val="clear" w:color="auto" w:fill="000000" w:themeFill="text1"/>
          </w:tcPr>
          <w:p w14:paraId="1DD0DBB9" w14:textId="77777777" w:rsidR="00450334" w:rsidRDefault="0045033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334" w14:paraId="2D05FECC" w14:textId="77777777" w:rsidTr="00450334">
        <w:trPr>
          <w:trHeight w:val="1072"/>
        </w:trPr>
        <w:tc>
          <w:tcPr>
            <w:tcW w:w="2343" w:type="pct"/>
            <w:gridSpan w:val="2"/>
            <w:shd w:val="clear" w:color="auto" w:fill="B8CCE4" w:themeFill="accent1" w:themeFillTint="66"/>
            <w:vAlign w:val="center"/>
          </w:tcPr>
          <w:p w14:paraId="66D8EABF" w14:textId="77777777" w:rsidR="00450334" w:rsidRDefault="0045033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172" w:type="pct"/>
            <w:shd w:val="clear" w:color="auto" w:fill="B8CCE4" w:themeFill="accent1" w:themeFillTint="66"/>
            <w:vAlign w:val="center"/>
          </w:tcPr>
          <w:p w14:paraId="133594B8" w14:textId="0FDB08E8" w:rsidR="00450334" w:rsidRDefault="00450334" w:rsidP="00DF2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  <w:p w14:paraId="2AB2869E" w14:textId="0BA9B114" w:rsidR="00450334" w:rsidRDefault="00450334" w:rsidP="00DF2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(cena pro hodnocení)</w:t>
            </w:r>
          </w:p>
        </w:tc>
        <w:tc>
          <w:tcPr>
            <w:tcW w:w="1485" w:type="pct"/>
            <w:shd w:val="clear" w:color="auto" w:fill="B8CCE4" w:themeFill="accent1" w:themeFillTint="66"/>
            <w:vAlign w:val="center"/>
          </w:tcPr>
          <w:p w14:paraId="1DE31E16" w14:textId="3E194D4C" w:rsidR="00450334" w:rsidRDefault="0045033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včetně DPH</w:t>
            </w:r>
          </w:p>
        </w:tc>
      </w:tr>
      <w:tr w:rsidR="00450334" w:rsidRPr="001D5358" w14:paraId="2CD44863" w14:textId="77777777" w:rsidTr="00450334">
        <w:trPr>
          <w:trHeight w:val="920"/>
        </w:trPr>
        <w:tc>
          <w:tcPr>
            <w:tcW w:w="2343" w:type="pct"/>
            <w:gridSpan w:val="2"/>
            <w:shd w:val="clear" w:color="auto" w:fill="DBE5F1" w:themeFill="accent1" w:themeFillTint="33"/>
            <w:vAlign w:val="center"/>
          </w:tcPr>
          <w:p w14:paraId="5A0C928D" w14:textId="135D2A62" w:rsidR="00450334" w:rsidRPr="00506953" w:rsidRDefault="00450334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A73425">
              <w:rPr>
                <w:rFonts w:ascii="Arial" w:hAnsi="Arial" w:cs="Arial"/>
                <w:sz w:val="20"/>
              </w:rPr>
              <w:t>sestavy nábytku s vestavěnou ultrazvukovou myčkou a směšovačem dezinfekčního roztoku</w:t>
            </w:r>
          </w:p>
        </w:tc>
        <w:tc>
          <w:tcPr>
            <w:tcW w:w="1172" w:type="pct"/>
            <w:shd w:val="clear" w:color="auto" w:fill="00B0F0"/>
            <w:vAlign w:val="center"/>
          </w:tcPr>
          <w:p w14:paraId="2F5F1F23" w14:textId="07F03F32" w:rsidR="00450334" w:rsidRPr="00424014" w:rsidRDefault="0045033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85" w:type="pct"/>
            <w:shd w:val="clear" w:color="auto" w:fill="00B0F0"/>
            <w:vAlign w:val="center"/>
          </w:tcPr>
          <w:p w14:paraId="6F3A5B7A" w14:textId="77777777" w:rsidR="00450334" w:rsidRPr="00424014" w:rsidRDefault="0045033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DF2A5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28764A8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Fonts w:ascii="Arial" w:hAnsi="Arial" w:cs="Arial"/>
          <w:sz w:val="20"/>
          <w:szCs w:val="20"/>
        </w:rPr>
        <w:t xml:space="preserve">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0334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5F4E6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3618B"/>
    <w:rsid w:val="00743A79"/>
    <w:rsid w:val="00752E24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16AC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342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76D01"/>
    <w:rsid w:val="00D86E09"/>
    <w:rsid w:val="00D873B0"/>
    <w:rsid w:val="00DD2A32"/>
    <w:rsid w:val="00DD56F7"/>
    <w:rsid w:val="00DE40BE"/>
    <w:rsid w:val="00DE61A8"/>
    <w:rsid w:val="00DF1278"/>
    <w:rsid w:val="00DF2A59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66e70fa-7670-43a6-99e2-cc25946fa8e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8BE159-EA29-4408-A16C-99D5A969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1377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17</cp:revision>
  <cp:lastPrinted>2017-12-19T10:11:00Z</cp:lastPrinted>
  <dcterms:created xsi:type="dcterms:W3CDTF">2026-01-19T06:24:00Z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