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22A85E5D" w:rsidR="00C5658A" w:rsidRPr="0038698B" w:rsidRDefault="0038698B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698B">
              <w:rPr>
                <w:rFonts w:ascii="Arial" w:hAnsi="Arial" w:cs="Arial"/>
                <w:b/>
                <w:bCs/>
                <w:szCs w:val="20"/>
              </w:rPr>
              <w:t>Akumulátorový vrtací systém pro malé kosti – K-dráty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3C269F4D" w:rsidR="002C0140" w:rsidRPr="00325A47" w:rsidRDefault="00971347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6FF076B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</w:t>
      </w:r>
      <w:r w:rsidRPr="006769A6">
        <w:rPr>
          <w:rFonts w:eastAsia="Arial" w:cs="Arial"/>
          <w:sz w:val="20"/>
        </w:rPr>
        <w:lastRenderedPageBreak/>
        <w:t>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D8DF" w14:textId="77777777" w:rsidR="003F32DF" w:rsidRDefault="003F32DF" w:rsidP="002002D1">
      <w:pPr>
        <w:spacing w:after="0" w:line="240" w:lineRule="auto"/>
      </w:pPr>
      <w:r>
        <w:separator/>
      </w:r>
    </w:p>
  </w:endnote>
  <w:endnote w:type="continuationSeparator" w:id="0">
    <w:p w14:paraId="1CE3D9A1" w14:textId="77777777" w:rsidR="003F32DF" w:rsidRDefault="003F32D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3F32DF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35BE" w14:textId="77777777" w:rsidR="003F32DF" w:rsidRDefault="003F32DF" w:rsidP="002002D1">
      <w:pPr>
        <w:spacing w:after="0" w:line="240" w:lineRule="auto"/>
      </w:pPr>
      <w:r>
        <w:separator/>
      </w:r>
    </w:p>
  </w:footnote>
  <w:footnote w:type="continuationSeparator" w:id="0">
    <w:p w14:paraId="70207724" w14:textId="77777777" w:rsidR="003F32DF" w:rsidRDefault="003F32DF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D5C5E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1C16"/>
    <w:rsid w:val="0038267D"/>
    <w:rsid w:val="00386937"/>
    <w:rsid w:val="0038698B"/>
    <w:rsid w:val="003A27DF"/>
    <w:rsid w:val="003B0004"/>
    <w:rsid w:val="003B6A5F"/>
    <w:rsid w:val="003C3627"/>
    <w:rsid w:val="003E6F32"/>
    <w:rsid w:val="003E79EC"/>
    <w:rsid w:val="003F32DF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0BB3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05B59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1347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D4E03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6788A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A1F1F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BF501B"/>
    <w:rsid w:val="00C139DC"/>
    <w:rsid w:val="00C16607"/>
    <w:rsid w:val="00C20C16"/>
    <w:rsid w:val="00C22CD4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630DA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4234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16FED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7453</Characters>
  <Application>Microsoft Office Word</Application>
  <DocSecurity>0</DocSecurity>
  <Lines>128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2026-04-16T06:38:00Z</dcterms:created>
  <dcterms:modified xsi:type="dcterms:W3CDTF">2026-04-16T06:38:00Z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