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132A07F5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0865A4" w:rsidRPr="000865A4">
        <w:rPr>
          <w:rFonts w:ascii="Times New Roman" w:hAnsi="Times New Roman"/>
          <w:b/>
          <w:bCs/>
          <w:sz w:val="24"/>
          <w:szCs w:val="24"/>
        </w:rPr>
        <w:t>„II/280 Libáň – Kopidlno – I. etapa, 1. část“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701CCC2F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0865A4" w:rsidRPr="000865A4">
        <w:rPr>
          <w:rFonts w:ascii="Times New Roman" w:hAnsi="Times New Roman"/>
          <w:b/>
          <w:bCs/>
          <w:sz w:val="24"/>
          <w:szCs w:val="24"/>
        </w:rPr>
        <w:t>„II/280 Libáň – Kopidlno – I. etapa, 1. část“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937786377">
    <w:abstractNumId w:val="0"/>
  </w:num>
  <w:num w:numId="2" w16cid:durableId="374937053">
    <w:abstractNumId w:val="1"/>
  </w:num>
  <w:num w:numId="3" w16cid:durableId="1417828520">
    <w:abstractNumId w:val="2"/>
  </w:num>
  <w:num w:numId="4" w16cid:durableId="18576502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865A4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2E450A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2026-03-03T07:20:00Z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