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1F900B37"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4016BC">
        <w:rPr>
          <w:rFonts w:ascii="Arial Narrow" w:hAnsi="Arial Narrow"/>
        </w:rPr>
        <w:t>malého rozsahu</w:t>
      </w:r>
      <w:r w:rsidR="00A150D8">
        <w:rPr>
          <w:rFonts w:ascii="Arial Narrow" w:hAnsi="Arial Narrow"/>
        </w:rPr>
        <w:t>, s názvem</w:t>
      </w:r>
      <w:r w:rsidRPr="00CD3080">
        <w:rPr>
          <w:rFonts w:ascii="Arial Narrow" w:hAnsi="Arial Narrow"/>
        </w:rPr>
        <w:t xml:space="preserve"> </w:t>
      </w:r>
      <w:r w:rsidR="0030279B" w:rsidRPr="004C7891">
        <w:rPr>
          <w:rFonts w:ascii="Arial Narrow" w:hAnsi="Arial Narrow"/>
          <w:b/>
          <w:bCs/>
        </w:rPr>
        <w:t>„</w:t>
      </w:r>
      <w:proofErr w:type="spellStart"/>
      <w:r w:rsidR="00D43AC7">
        <w:rPr>
          <w:rFonts w:ascii="Arial Narrow" w:hAnsi="Arial Narrow" w:cs="Arial"/>
          <w:b/>
          <w:bCs/>
        </w:rPr>
        <w:t>Cílič</w:t>
      </w:r>
      <w:proofErr w:type="spellEnd"/>
      <w:r w:rsidR="00D43AC7">
        <w:rPr>
          <w:rFonts w:ascii="Arial Narrow" w:hAnsi="Arial Narrow" w:cs="Arial"/>
          <w:b/>
          <w:bCs/>
        </w:rPr>
        <w:t xml:space="preserve"> pro reparaci kořene menisku</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lastRenderedPageBreak/>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4C9415F6" w14:textId="5F13A47C" w:rsidR="00FB65B0" w:rsidRDefault="00FB65B0"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se zavazuje dodat přístroj v souladu s platnými právními předpisy, zejména v souladu se zákonem č. 375/2022 Sb., o zdravotnických prostředcích a diagnostických zdravotnických prostředcích in vitro, ve znění pozdějších předpisů. </w:t>
      </w:r>
    </w:p>
    <w:p w14:paraId="7C97610A" w14:textId="6906FFE6"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23C3A0C0" w14:textId="23DA5C73" w:rsidR="00FB65B0" w:rsidRDefault="00FB65B0" w:rsidP="001F24E2">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Součástí dodávky přístroje je zejména:</w:t>
      </w:r>
    </w:p>
    <w:p w14:paraId="6C1E411D" w14:textId="1B87AD74" w:rsidR="00FB65B0" w:rsidRDefault="00FB65B0" w:rsidP="00FB65B0">
      <w:pPr>
        <w:tabs>
          <w:tab w:val="left" w:pos="567"/>
        </w:tabs>
        <w:spacing w:after="120" w:line="360" w:lineRule="auto"/>
        <w:ind w:left="1418" w:hanging="851"/>
        <w:rPr>
          <w:rFonts w:ascii="Arial Narrow" w:hAnsi="Arial Narrow"/>
          <w:sz w:val="22"/>
          <w:szCs w:val="22"/>
        </w:rPr>
      </w:pPr>
      <w:r>
        <w:rPr>
          <w:rFonts w:ascii="Arial Narrow" w:hAnsi="Arial Narrow"/>
          <w:sz w:val="22"/>
          <w:szCs w:val="22"/>
        </w:rPr>
        <w:t>a.</w:t>
      </w:r>
      <w:r>
        <w:rPr>
          <w:rFonts w:ascii="Arial Narrow" w:hAnsi="Arial Narrow"/>
          <w:sz w:val="22"/>
          <w:szCs w:val="22"/>
        </w:rPr>
        <w:tab/>
        <w:t>zajištění dopravy do místa dodání, instalace a uvedení do provozu s předvedením funkčnosti přístroje, včetně odvozu a likvidace odpadu a obalů, a to v souladu splatnými právními předpisy. Při nakládání s odpady je prodávající povinen minimalizovat negativní dopady na životní prostředí, respektovat zásady udržitelnosti a využívat možnosti cirkulární ekonomiky, pokud to povaha odpadu a dostupné technologie umožňují;</w:t>
      </w:r>
    </w:p>
    <w:p w14:paraId="227FEC4A" w14:textId="737563DB" w:rsidR="00FB65B0" w:rsidRDefault="00FB65B0" w:rsidP="00FB65B0">
      <w:pPr>
        <w:tabs>
          <w:tab w:val="left" w:pos="567"/>
        </w:tabs>
        <w:spacing w:after="120" w:line="360" w:lineRule="auto"/>
        <w:ind w:left="1418" w:hanging="851"/>
        <w:rPr>
          <w:rFonts w:ascii="Arial Narrow" w:hAnsi="Arial Narrow"/>
          <w:sz w:val="22"/>
          <w:szCs w:val="22"/>
        </w:rPr>
      </w:pPr>
      <w:r>
        <w:rPr>
          <w:rFonts w:ascii="Arial Narrow" w:hAnsi="Arial Narrow"/>
          <w:sz w:val="22"/>
          <w:szCs w:val="22"/>
        </w:rPr>
        <w:t>b.</w:t>
      </w:r>
      <w:r>
        <w:rPr>
          <w:rFonts w:ascii="Arial Narrow" w:hAnsi="Arial Narrow"/>
          <w:sz w:val="22"/>
          <w:szCs w:val="22"/>
        </w:rPr>
        <w:tab/>
        <w:t>předání dokladů, které se k přístroji vztahují a jsou nezbytné pro jeho řádný provoz, zejména instalační, validační, kalibrační a jiné protokoly;</w:t>
      </w:r>
    </w:p>
    <w:p w14:paraId="72EEF700" w14:textId="07B70AF2" w:rsidR="00FB65B0" w:rsidRDefault="00FB65B0" w:rsidP="00FB65B0">
      <w:pPr>
        <w:tabs>
          <w:tab w:val="left" w:pos="567"/>
        </w:tabs>
        <w:spacing w:after="120" w:line="360" w:lineRule="auto"/>
        <w:ind w:left="1418" w:hanging="851"/>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9E7644">
        <w:rPr>
          <w:rFonts w:ascii="Arial Narrow" w:hAnsi="Arial Narrow"/>
          <w:sz w:val="22"/>
          <w:szCs w:val="22"/>
        </w:rPr>
        <w:t>bezplatné zaškolení obsluhy přístroje či jiných vybraných zástupců kupujícího, tj. instruktáž dle platných právních předpisů, společně s dodáním potvrzení o bezplatném zaškolení;</w:t>
      </w:r>
    </w:p>
    <w:p w14:paraId="664F7284" w14:textId="6D8DD0D9" w:rsidR="009E7644" w:rsidRDefault="009E7644" w:rsidP="00FB65B0">
      <w:pPr>
        <w:tabs>
          <w:tab w:val="left" w:pos="567"/>
        </w:tabs>
        <w:spacing w:after="120" w:line="360" w:lineRule="auto"/>
        <w:ind w:left="1418" w:hanging="851"/>
        <w:rPr>
          <w:rFonts w:ascii="Arial Narrow" w:hAnsi="Arial Narrow"/>
          <w:sz w:val="22"/>
          <w:szCs w:val="22"/>
        </w:rPr>
      </w:pPr>
      <w:r>
        <w:rPr>
          <w:rFonts w:ascii="Arial Narrow" w:hAnsi="Arial Narrow"/>
          <w:sz w:val="22"/>
          <w:szCs w:val="22"/>
        </w:rPr>
        <w:t>d.</w:t>
      </w:r>
      <w:r>
        <w:rPr>
          <w:rFonts w:ascii="Arial Narrow" w:hAnsi="Arial Narrow"/>
          <w:sz w:val="22"/>
          <w:szCs w:val="22"/>
        </w:rPr>
        <w:tab/>
        <w:t>předání návodu k použití v českém jazyce 1x v písemné formě nebo 1x elektronicky na vhodném datovém nosiči, a to včetně informací k preventivním prohlídkám přístroje;</w:t>
      </w:r>
    </w:p>
    <w:p w14:paraId="20B1494D" w14:textId="02CA0FA2" w:rsidR="009E7644" w:rsidRDefault="009E7644" w:rsidP="00FB65B0">
      <w:pPr>
        <w:tabs>
          <w:tab w:val="left" w:pos="567"/>
        </w:tabs>
        <w:spacing w:after="120" w:line="360" w:lineRule="auto"/>
        <w:ind w:left="1418" w:hanging="851"/>
        <w:rPr>
          <w:rFonts w:ascii="Arial Narrow" w:hAnsi="Arial Narrow"/>
          <w:sz w:val="22"/>
          <w:szCs w:val="22"/>
        </w:rPr>
      </w:pPr>
      <w:r>
        <w:rPr>
          <w:rFonts w:ascii="Arial Narrow" w:hAnsi="Arial Narrow"/>
          <w:sz w:val="22"/>
          <w:szCs w:val="22"/>
        </w:rPr>
        <w:lastRenderedPageBreak/>
        <w:t>e.</w:t>
      </w:r>
      <w:r>
        <w:rPr>
          <w:rFonts w:ascii="Arial Narrow" w:hAnsi="Arial Narrow"/>
          <w:sz w:val="22"/>
          <w:szCs w:val="22"/>
        </w:rPr>
        <w:tab/>
        <w:t>dodání prohlášení o shodě a ve vztahu k CE certifikátu – doklad (např. formou prohlášení prodávajícího nebo písemně na  některém  z předaných dokladů) obsahující informace/identifikaci notifikované osoby a číslo notifikované osoby, která vystavila certifikát, a příslušné dokumentace dle platných právních předpisů;</w:t>
      </w:r>
    </w:p>
    <w:p w14:paraId="00F2FD00" w14:textId="625AEBF1" w:rsidR="009E7644" w:rsidRDefault="009E7644" w:rsidP="00FB65B0">
      <w:pPr>
        <w:tabs>
          <w:tab w:val="left" w:pos="567"/>
        </w:tabs>
        <w:spacing w:after="120" w:line="360" w:lineRule="auto"/>
        <w:ind w:left="1418" w:hanging="851"/>
        <w:rPr>
          <w:rFonts w:ascii="Arial Narrow" w:hAnsi="Arial Narrow"/>
          <w:sz w:val="22"/>
          <w:szCs w:val="22"/>
        </w:rPr>
      </w:pPr>
      <w:r>
        <w:rPr>
          <w:rFonts w:ascii="Arial Narrow" w:hAnsi="Arial Narrow"/>
          <w:sz w:val="22"/>
          <w:szCs w:val="22"/>
        </w:rPr>
        <w:t>f.</w:t>
      </w:r>
      <w:r>
        <w:rPr>
          <w:rFonts w:ascii="Arial Narrow" w:hAnsi="Arial Narrow"/>
          <w:sz w:val="22"/>
          <w:szCs w:val="22"/>
        </w:rPr>
        <w:tab/>
        <w:t>dodání informací o zahájení a době záruky v souladu s touto smlouvou (např. formou čestného prohlášení nebo písemně na některém z předávaných dokladů).</w:t>
      </w:r>
    </w:p>
    <w:p w14:paraId="0B3BEA10" w14:textId="540F8B86" w:rsidR="00B37097" w:rsidRDefault="009E7644" w:rsidP="001F24E2">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se zavazuje provádět bezplatný záruční servis Přístroje  po celou dobu sjednané záruční doby dle této smlouvy. Pro vyloučení pochybností smluvní strany stanoví, že záručním servisem se rozumí veškeré úkony, kontroly, validace, kalibrace, provozní údržba, pravidelné bezpečnostně technické kontroly (s použitím předepsaných servisních </w:t>
      </w:r>
      <w:proofErr w:type="spellStart"/>
      <w:r>
        <w:rPr>
          <w:rFonts w:ascii="Arial Narrow" w:hAnsi="Arial Narrow"/>
          <w:sz w:val="22"/>
          <w:szCs w:val="22"/>
        </w:rPr>
        <w:t>kitů</w:t>
      </w:r>
      <w:proofErr w:type="spellEnd"/>
      <w:r>
        <w:rPr>
          <w:rFonts w:ascii="Arial Narrow" w:hAnsi="Arial Narrow"/>
          <w:sz w:val="22"/>
          <w:szCs w:val="22"/>
        </w:rPr>
        <w:t>) dle doporučení výrobce přístroje a elektrické revize dle platných právních předpisů, apod., včetně vystavení protokolů, které jsou předepsány výrobce dodávaného přístroje pro zabezpečení řádné funkce dodaného přístroje.</w:t>
      </w:r>
    </w:p>
    <w:p w14:paraId="0C1C9C67" w14:textId="215F5ACE" w:rsidR="009E7644" w:rsidRDefault="009E7644" w:rsidP="001F24E2">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Prodávající je povinen dodat přístroj tak, aby nebyl v okamžiku dodání zatížen jakýmikoliv právy třetích osob (včetně podmíněných nebo budoucích práv).</w:t>
      </w:r>
    </w:p>
    <w:p w14:paraId="0C8F2675" w14:textId="71C4828C" w:rsidR="001108C5" w:rsidRDefault="001108C5" w:rsidP="001F24E2">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zajistit bezplatné </w:t>
      </w:r>
      <w:r>
        <w:rPr>
          <w:rFonts w:ascii="Arial Narrow" w:hAnsi="Arial Narrow" w:cs="Arial"/>
          <w:sz w:val="22"/>
          <w:szCs w:val="22"/>
        </w:rPr>
        <w:t>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267/2025 Sb., o kybernetické bezpečnosti v platném znění a dále v souladu s požadavky zadavatele na zapojení a provoz počítačů – zařízení v datové síti Oblastní nemocnice Náchod a.</w:t>
      </w:r>
      <w:r>
        <w:rPr>
          <w:rFonts w:ascii="Arial Narrow" w:hAnsi="Arial Narrow" w:cs="Arial"/>
          <w:sz w:val="22"/>
          <w:szCs w:val="22"/>
        </w:rPr>
        <w:t>s.</w:t>
      </w:r>
    </w:p>
    <w:p w14:paraId="5FF559BE" w14:textId="77777777" w:rsidR="001108C5" w:rsidRPr="001F24E2" w:rsidRDefault="001108C5" w:rsidP="001108C5">
      <w:pPr>
        <w:tabs>
          <w:tab w:val="left" w:pos="567"/>
        </w:tabs>
        <w:spacing w:after="120" w:line="360" w:lineRule="auto"/>
        <w:ind w:left="0" w:firstLine="0"/>
        <w:rPr>
          <w:rFonts w:ascii="Arial Narrow" w:hAnsi="Arial Narrow"/>
          <w:sz w:val="22"/>
          <w:szCs w:val="22"/>
        </w:rPr>
      </w:pP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318D457D"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9E7644">
        <w:rPr>
          <w:rFonts w:ascii="Arial Narrow" w:hAnsi="Arial Narrow"/>
          <w:b/>
          <w:sz w:val="22"/>
        </w:rPr>
        <w:t xml:space="preserve">4 </w:t>
      </w:r>
      <w:r w:rsidR="00F44B1E">
        <w:rPr>
          <w:rFonts w:ascii="Arial Narrow" w:hAnsi="Arial Narrow"/>
          <w:b/>
          <w:sz w:val="22"/>
        </w:rPr>
        <w:t xml:space="preserve">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3631FFA5" w:rsidR="00EC0855" w:rsidRPr="00F510F0" w:rsidRDefault="009E7644"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COS</w:t>
      </w:r>
      <w:r w:rsidR="00F510F0" w:rsidRPr="00445BD5">
        <w:rPr>
          <w:rFonts w:ascii="Arial Narrow" w:hAnsi="Arial Narrow" w:cs="Arial"/>
          <w:bCs/>
          <w:sz w:val="22"/>
          <w:szCs w:val="22"/>
        </w:rPr>
        <w:t xml:space="preserve">, </w:t>
      </w:r>
      <w:r w:rsidR="00A150D8">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sidR="00A150D8">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sidR="00A150D8">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lastRenderedPageBreak/>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095ACDE6"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9E7644">
        <w:rPr>
          <w:rFonts w:ascii="Arial Narrow" w:hAnsi="Arial Narrow"/>
        </w:rPr>
        <w:t>Andrea Hynková</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9E7644" w:rsidRPr="008A000B">
          <w:rPr>
            <w:rStyle w:val="Hypertextovodkaz"/>
            <w:rFonts w:ascii="Arial Narrow" w:hAnsi="Arial Narrow"/>
          </w:rPr>
          <w:t>hynkova.andrea@nemocnicerk.cz</w:t>
        </w:r>
      </w:hyperlink>
      <w:r w:rsidR="0007166D">
        <w:rPr>
          <w:rFonts w:ascii="Arial Narrow" w:hAnsi="Arial Narrow"/>
        </w:rPr>
        <w:t>,</w:t>
      </w:r>
      <w:r w:rsidRPr="00ED512F">
        <w:rPr>
          <w:rFonts w:ascii="Arial Narrow" w:hAnsi="Arial Narrow"/>
        </w:rPr>
        <w:t xml:space="preserve"> tel.: </w:t>
      </w:r>
      <w:r w:rsidR="0007166D">
        <w:rPr>
          <w:rFonts w:ascii="Arial Narrow" w:hAnsi="Arial Narrow"/>
        </w:rPr>
        <w:t>494 502 </w:t>
      </w:r>
      <w:r w:rsidR="001108C5">
        <w:rPr>
          <w:rFonts w:ascii="Arial Narrow" w:hAnsi="Arial Narrow"/>
        </w:rPr>
        <w:t>511</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1E386509" w14:textId="1F2AFA4A"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1108C5"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p w14:paraId="085BCB65" w14:textId="510A5E01" w:rsidR="001108C5" w:rsidRPr="001108C5" w:rsidRDefault="001108C5" w:rsidP="001108C5">
      <w:pPr>
        <w:shd w:val="clear" w:color="auto" w:fill="FFFF00"/>
        <w:tabs>
          <w:tab w:val="left" w:pos="567"/>
        </w:tabs>
        <w:spacing w:after="120" w:line="360" w:lineRule="auto"/>
        <w:ind w:left="567" w:firstLine="0"/>
        <w:rPr>
          <w:rFonts w:ascii="Arial Narrow" w:hAnsi="Arial Narrow"/>
          <w:b/>
          <w:bCs/>
          <w:sz w:val="22"/>
          <w:szCs w:val="22"/>
        </w:rPr>
      </w:pPr>
      <w:r w:rsidRPr="001108C5">
        <w:rPr>
          <w:rFonts w:ascii="Arial Narrow" w:hAnsi="Arial Narrow"/>
          <w:b/>
          <w:bCs/>
          <w:sz w:val="22"/>
          <w:szCs w:val="22"/>
        </w:rPr>
        <w:lastRenderedPageBreak/>
        <w:t>Nabídková cena v Kč bez DPH</w:t>
      </w:r>
      <w:r w:rsidRPr="001108C5">
        <w:rPr>
          <w:rFonts w:ascii="Arial Narrow" w:hAnsi="Arial Narrow"/>
          <w:b/>
          <w:bCs/>
          <w:sz w:val="22"/>
          <w:szCs w:val="22"/>
        </w:rPr>
        <w:tab/>
      </w:r>
      <w:r w:rsidRPr="001108C5">
        <w:rPr>
          <w:rFonts w:ascii="Arial Narrow" w:hAnsi="Arial Narrow"/>
          <w:b/>
          <w:bCs/>
          <w:sz w:val="22"/>
          <w:szCs w:val="22"/>
        </w:rPr>
        <w:tab/>
        <w:t>…………………..</w:t>
      </w:r>
    </w:p>
    <w:p w14:paraId="5D4C5384" w14:textId="43814394" w:rsidR="001108C5" w:rsidRPr="001108C5" w:rsidRDefault="001108C5" w:rsidP="001108C5">
      <w:pPr>
        <w:shd w:val="clear" w:color="auto" w:fill="FFFF00"/>
        <w:tabs>
          <w:tab w:val="left" w:pos="567"/>
        </w:tabs>
        <w:spacing w:after="120" w:line="360" w:lineRule="auto"/>
        <w:ind w:left="567" w:firstLine="0"/>
        <w:rPr>
          <w:rFonts w:ascii="Arial Narrow" w:hAnsi="Arial Narrow"/>
          <w:b/>
          <w:bCs/>
          <w:sz w:val="22"/>
          <w:szCs w:val="22"/>
        </w:rPr>
      </w:pPr>
      <w:r w:rsidRPr="001108C5">
        <w:rPr>
          <w:rFonts w:ascii="Arial Narrow" w:hAnsi="Arial Narrow"/>
          <w:b/>
          <w:bCs/>
          <w:sz w:val="22"/>
          <w:szCs w:val="22"/>
        </w:rPr>
        <w:t>DPH</w:t>
      </w:r>
      <w:r w:rsidRPr="001108C5">
        <w:rPr>
          <w:rFonts w:ascii="Arial Narrow" w:hAnsi="Arial Narrow"/>
          <w:b/>
          <w:bCs/>
          <w:sz w:val="22"/>
          <w:szCs w:val="22"/>
        </w:rPr>
        <w:tab/>
      </w:r>
      <w:r w:rsidRPr="001108C5">
        <w:rPr>
          <w:rFonts w:ascii="Arial Narrow" w:hAnsi="Arial Narrow"/>
          <w:b/>
          <w:bCs/>
          <w:sz w:val="22"/>
          <w:szCs w:val="22"/>
        </w:rPr>
        <w:tab/>
      </w:r>
      <w:r w:rsidRPr="001108C5">
        <w:rPr>
          <w:rFonts w:ascii="Arial Narrow" w:hAnsi="Arial Narrow"/>
          <w:b/>
          <w:bCs/>
          <w:sz w:val="22"/>
          <w:szCs w:val="22"/>
        </w:rPr>
        <w:tab/>
      </w:r>
      <w:r w:rsidRPr="001108C5">
        <w:rPr>
          <w:rFonts w:ascii="Arial Narrow" w:hAnsi="Arial Narrow"/>
          <w:b/>
          <w:bCs/>
          <w:sz w:val="22"/>
          <w:szCs w:val="22"/>
        </w:rPr>
        <w:tab/>
      </w:r>
      <w:r w:rsidRPr="001108C5">
        <w:rPr>
          <w:rFonts w:ascii="Arial Narrow" w:hAnsi="Arial Narrow"/>
          <w:b/>
          <w:bCs/>
          <w:sz w:val="22"/>
          <w:szCs w:val="22"/>
        </w:rPr>
        <w:tab/>
        <w:t>…………………..</w:t>
      </w:r>
    </w:p>
    <w:p w14:paraId="4CF3B388" w14:textId="4C5A692A" w:rsidR="001108C5" w:rsidRPr="001108C5" w:rsidRDefault="001108C5" w:rsidP="001108C5">
      <w:pPr>
        <w:shd w:val="clear" w:color="auto" w:fill="FFFF00"/>
        <w:tabs>
          <w:tab w:val="left" w:pos="567"/>
        </w:tabs>
        <w:spacing w:after="120" w:line="360" w:lineRule="auto"/>
        <w:ind w:left="567" w:firstLine="0"/>
        <w:rPr>
          <w:rFonts w:ascii="Arial Narrow" w:hAnsi="Arial Narrow"/>
          <w:b/>
          <w:bCs/>
          <w:i/>
        </w:rPr>
      </w:pPr>
      <w:r w:rsidRPr="001108C5">
        <w:rPr>
          <w:rFonts w:ascii="Arial Narrow" w:hAnsi="Arial Narrow"/>
          <w:b/>
          <w:bCs/>
          <w:sz w:val="22"/>
          <w:szCs w:val="22"/>
        </w:rPr>
        <w:t>Nabídková cena celkem v Kč vč. DPH</w:t>
      </w:r>
      <w:r w:rsidRPr="001108C5">
        <w:rPr>
          <w:rFonts w:ascii="Arial Narrow" w:hAnsi="Arial Narrow"/>
          <w:b/>
          <w:bCs/>
          <w:sz w:val="22"/>
          <w:szCs w:val="22"/>
        </w:rPr>
        <w:tab/>
        <w:t>…………………..</w:t>
      </w: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0E6AE6">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0E6AE6">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74AC0F9E" w14:textId="51BD8062" w:rsidR="000E6AE6" w:rsidRPr="00AB597A" w:rsidRDefault="000E6AE6" w:rsidP="007D7A3A">
      <w:pPr>
        <w:pStyle w:val="Odstavecseseznamem"/>
        <w:numPr>
          <w:ilvl w:val="0"/>
          <w:numId w:val="7"/>
        </w:numPr>
        <w:tabs>
          <w:tab w:val="left" w:pos="993"/>
        </w:tabs>
        <w:suppressAutoHyphens/>
        <w:spacing w:after="120" w:line="360" w:lineRule="auto"/>
        <w:ind w:left="993" w:hanging="284"/>
        <w:rPr>
          <w:rFonts w:ascii="Arial Narrow" w:hAnsi="Arial Narrow"/>
          <w:b/>
          <w:bCs/>
          <w:color w:val="000000"/>
        </w:rPr>
      </w:pPr>
      <w:r>
        <w:rPr>
          <w:rFonts w:ascii="Arial Narrow" w:hAnsi="Arial Narrow"/>
          <w:color w:val="000000"/>
        </w:rPr>
        <w:t xml:space="preserve">text: </w:t>
      </w:r>
      <w:r w:rsidRPr="00AB597A">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lastRenderedPageBreak/>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lastRenderedPageBreak/>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7D83381"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69C02E9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lastRenderedPageBreak/>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7571662C"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1"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1"/>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w:t>
      </w:r>
      <w:r w:rsidR="00C62103" w:rsidRPr="000351A7">
        <w:rPr>
          <w:rFonts w:ascii="Arial Narrow" w:hAnsi="Arial Narrow"/>
          <w:sz w:val="22"/>
          <w:szCs w:val="22"/>
        </w:rPr>
        <w:lastRenderedPageBreak/>
        <w:t xml:space="preserve">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lastRenderedPageBreak/>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2"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2"/>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lastRenderedPageBreak/>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66C007BA" w14:textId="322C1740" w:rsidR="00D13C22" w:rsidRPr="001108C5" w:rsidRDefault="00E411E3" w:rsidP="001108C5">
      <w:pPr>
        <w:pStyle w:val="Odstavecseseznamem"/>
        <w:numPr>
          <w:ilvl w:val="0"/>
          <w:numId w:val="12"/>
        </w:numPr>
        <w:spacing w:after="120" w:line="360" w:lineRule="auto"/>
        <w:ind w:hanging="720"/>
        <w:contextualSpacing w:val="0"/>
        <w:rPr>
          <w:rFonts w:ascii="Arial Narrow" w:hAnsi="Arial Narrow"/>
        </w:rPr>
      </w:pPr>
      <w:bookmarkStart w:id="3"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bookmarkEnd w:id="3"/>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lastRenderedPageBreak/>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lastRenderedPageBreak/>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lastRenderedPageBreak/>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48717EC6" w14:textId="46E9BD78" w:rsidR="001108C5" w:rsidRPr="001108C5" w:rsidRDefault="001108C5" w:rsidP="001108C5">
      <w:pPr>
        <w:pStyle w:val="Odstavecseseznamem"/>
        <w:spacing w:after="120" w:line="360" w:lineRule="auto"/>
        <w:ind w:firstLine="0"/>
        <w:rPr>
          <w:rFonts w:ascii="Arial Narrow" w:hAnsi="Arial Narrow"/>
        </w:rPr>
      </w:pPr>
      <w:r w:rsidRPr="001108C5">
        <w:rPr>
          <w:rFonts w:ascii="Arial Narrow" w:hAnsi="Arial Narrow"/>
        </w:rPr>
        <w:t xml:space="preserve">Příloha č. 3 – Informace k periodické bezpečnostní technické kontrole (tj. četnost, rozsah včetně informace o nutných činnostech (např. výměna součástí, kalibrace, validace, jiné činnosti) a požadavku na povinné servisní </w:t>
      </w:r>
      <w:proofErr w:type="spellStart"/>
      <w:r w:rsidRPr="001108C5">
        <w:rPr>
          <w:rFonts w:ascii="Arial Narrow" w:hAnsi="Arial Narrow"/>
        </w:rPr>
        <w:t>kity</w:t>
      </w:r>
      <w:proofErr w:type="spellEnd"/>
      <w:r w:rsidRPr="001108C5">
        <w:rPr>
          <w:rFonts w:ascii="Arial Narrow" w:hAnsi="Arial Narrow"/>
        </w:rPr>
        <w:t xml:space="preserve"> (položkový seznam s oceněním);</w:t>
      </w:r>
    </w:p>
    <w:p w14:paraId="2F764A2F" w14:textId="7777777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77777777"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63121EE" w14:textId="77777777" w:rsidR="0060634A" w:rsidRDefault="0060634A" w:rsidP="00644508">
      <w:pPr>
        <w:pStyle w:val="Zkladntext"/>
        <w:spacing w:after="120" w:line="360" w:lineRule="auto"/>
        <w:ind w:left="0" w:firstLine="0"/>
        <w:rPr>
          <w:rFonts w:ascii="Arial Narrow" w:hAnsi="Arial Narrow"/>
          <w:sz w:val="22"/>
          <w:szCs w:val="22"/>
        </w:rPr>
      </w:pPr>
    </w:p>
    <w:p w14:paraId="04ACB0F0" w14:textId="77777777" w:rsidR="00D13C22" w:rsidRPr="00A72043" w:rsidRDefault="00D13C22" w:rsidP="00644508">
      <w:pPr>
        <w:pStyle w:val="Zkladntext"/>
        <w:spacing w:after="120" w:line="360" w:lineRule="auto"/>
        <w:ind w:left="0" w:firstLine="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093ADAB7" w14:textId="7DA7CAD0" w:rsidR="003043E4" w:rsidRPr="001108C5" w:rsidRDefault="00DB3391" w:rsidP="001108C5">
      <w:pPr>
        <w:pStyle w:val="Odstavecseseznamem"/>
        <w:tabs>
          <w:tab w:val="left" w:pos="-15"/>
          <w:tab w:val="center" w:pos="4357"/>
        </w:tabs>
        <w:spacing w:after="120" w:line="360" w:lineRule="auto"/>
        <w:ind w:left="0"/>
        <w:jc w:val="left"/>
        <w:rPr>
          <w:rFonts w:ascii="Arial Narrow" w:hAnsi="Arial Narrow"/>
        </w:rPr>
        <w:sectPr w:rsidR="003043E4" w:rsidRPr="001108C5" w:rsidSect="00C42A44">
          <w:footerReference w:type="even" r:id="rId13"/>
          <w:footerReference w:type="default" r:id="rId14"/>
          <w:pgSz w:w="11906" w:h="16838"/>
          <w:pgMar w:top="1417" w:right="1417" w:bottom="1134" w:left="1417" w:header="708" w:footer="510" w:gutter="0"/>
          <w:pgNumType w:start="1"/>
          <w:cols w:space="708"/>
        </w:sect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w:t>
      </w:r>
      <w:r w:rsidR="001108C5">
        <w:rPr>
          <w:rFonts w:ascii="Arial Narrow" w:hAnsi="Arial Narrow"/>
        </w:rPr>
        <w:t>dy</w:t>
      </w:r>
    </w:p>
    <w:p w14:paraId="6339A903" w14:textId="77777777" w:rsidR="00C34CD8" w:rsidRDefault="00C34CD8" w:rsidP="00C34CD8">
      <w:pPr>
        <w:spacing w:line="276" w:lineRule="auto"/>
        <w:jc w:val="left"/>
        <w:rPr>
          <w:rFonts w:asciiTheme="minorHAnsi" w:hAnsiTheme="minorHAnsi" w:cstheme="minorHAnsi"/>
          <w:sz w:val="22"/>
          <w:szCs w:val="22"/>
        </w:rPr>
      </w:pPr>
      <w:r w:rsidRPr="00011FE0">
        <w:rPr>
          <w:rFonts w:asciiTheme="minorHAnsi" w:hAnsiTheme="minorHAnsi" w:cstheme="minorHAnsi"/>
          <w:b/>
          <w:sz w:val="22"/>
          <w:szCs w:val="22"/>
        </w:rPr>
        <w:lastRenderedPageBreak/>
        <w:t>Příloha č. 3 – Informace k</w:t>
      </w:r>
      <w:r w:rsidRPr="00CB1A4D">
        <w:rPr>
          <w:rFonts w:asciiTheme="minorHAnsi" w:hAnsiTheme="minorHAnsi" w:cstheme="minorHAnsi"/>
          <w:b/>
          <w:sz w:val="22"/>
          <w:szCs w:val="22"/>
        </w:rPr>
        <w:t xml:space="preserve"> periodické bezpečnostní technické kontrole </w:t>
      </w:r>
      <w:r w:rsidRPr="00011FE0">
        <w:rPr>
          <w:rFonts w:asciiTheme="minorHAnsi" w:hAnsiTheme="minorHAnsi" w:cstheme="minorHAnsi"/>
          <w:sz w:val="22"/>
          <w:szCs w:val="22"/>
        </w:rPr>
        <w:t>(</w:t>
      </w:r>
      <w:r>
        <w:rPr>
          <w:rFonts w:asciiTheme="minorHAnsi" w:hAnsiTheme="minorHAnsi" w:cstheme="minorHAnsi"/>
          <w:sz w:val="22"/>
          <w:szCs w:val="22"/>
        </w:rPr>
        <w:t xml:space="preserve">tj. </w:t>
      </w:r>
      <w:r w:rsidRPr="00011FE0">
        <w:rPr>
          <w:rFonts w:asciiTheme="minorHAnsi" w:hAnsiTheme="minorHAnsi" w:cstheme="minorHAnsi"/>
          <w:sz w:val="22"/>
          <w:szCs w:val="22"/>
        </w:rPr>
        <w:t>četnost, rozsah včetně informace o nutných činnostech (např. výměna součástí,</w:t>
      </w:r>
    </w:p>
    <w:p w14:paraId="7BA22EBF" w14:textId="77777777" w:rsidR="00C34CD8" w:rsidRDefault="00C34CD8" w:rsidP="00C34CD8">
      <w:pPr>
        <w:spacing w:line="276" w:lineRule="auto"/>
        <w:jc w:val="left"/>
        <w:rPr>
          <w:rFonts w:asciiTheme="minorHAnsi" w:hAnsiTheme="minorHAnsi" w:cstheme="minorHAnsi"/>
          <w:sz w:val="22"/>
          <w:szCs w:val="22"/>
        </w:rPr>
      </w:pPr>
      <w:r w:rsidRPr="00011FE0">
        <w:rPr>
          <w:rFonts w:asciiTheme="minorHAnsi" w:hAnsiTheme="minorHAnsi" w:cstheme="minorHAnsi"/>
          <w:sz w:val="22"/>
          <w:szCs w:val="22"/>
        </w:rPr>
        <w:t>kalibrace, validace, jiné činnosti)</w:t>
      </w:r>
      <w:r>
        <w:rPr>
          <w:rFonts w:asciiTheme="minorHAnsi" w:hAnsiTheme="minorHAnsi" w:cstheme="minorHAnsi"/>
          <w:sz w:val="22"/>
          <w:szCs w:val="22"/>
        </w:rPr>
        <w:t>)</w:t>
      </w:r>
      <w:r w:rsidRPr="00011FE0">
        <w:rPr>
          <w:rFonts w:asciiTheme="minorHAnsi" w:hAnsiTheme="minorHAnsi" w:cstheme="minorHAnsi"/>
          <w:sz w:val="22"/>
          <w:szCs w:val="22"/>
        </w:rPr>
        <w:t xml:space="preserve"> </w:t>
      </w:r>
      <w:r w:rsidRPr="00011FE0">
        <w:rPr>
          <w:rFonts w:asciiTheme="minorHAnsi" w:hAnsiTheme="minorHAnsi" w:cstheme="minorHAnsi"/>
          <w:b/>
          <w:sz w:val="22"/>
          <w:szCs w:val="22"/>
        </w:rPr>
        <w:t xml:space="preserve">a požadavku na povinné servisní </w:t>
      </w:r>
      <w:proofErr w:type="spellStart"/>
      <w:r w:rsidRPr="00011FE0">
        <w:rPr>
          <w:rFonts w:asciiTheme="minorHAnsi" w:hAnsiTheme="minorHAnsi" w:cstheme="minorHAnsi"/>
          <w:b/>
          <w:sz w:val="22"/>
          <w:szCs w:val="22"/>
        </w:rPr>
        <w:t>kity</w:t>
      </w:r>
      <w:proofErr w:type="spellEnd"/>
      <w:r w:rsidRPr="00011FE0">
        <w:rPr>
          <w:rFonts w:asciiTheme="minorHAnsi" w:hAnsiTheme="minorHAnsi" w:cstheme="minorHAnsi"/>
          <w:sz w:val="22"/>
          <w:szCs w:val="22"/>
        </w:rPr>
        <w:t xml:space="preserve"> (položkový seznam s oceněním</w:t>
      </w:r>
      <w:r w:rsidRPr="00011FE0">
        <w:rPr>
          <w:rFonts w:asciiTheme="minorHAnsi" w:hAnsiTheme="minorHAnsi" w:cstheme="minorHAnsi"/>
          <w:color w:val="000000" w:themeColor="text1"/>
          <w:sz w:val="22"/>
          <w:szCs w:val="22"/>
        </w:rPr>
        <w:t xml:space="preserve">) </w:t>
      </w:r>
      <w:r w:rsidRPr="00E0195E">
        <w:rPr>
          <w:rFonts w:asciiTheme="minorHAnsi" w:hAnsiTheme="minorHAnsi" w:cstheme="minorHAnsi"/>
          <w:sz w:val="22"/>
          <w:szCs w:val="22"/>
        </w:rPr>
        <w:t xml:space="preserve">případně informaci, že výrobce na dodávaný </w:t>
      </w:r>
    </w:p>
    <w:p w14:paraId="40256E38" w14:textId="3615C137" w:rsidR="00C34CD8" w:rsidRPr="00011FE0" w:rsidRDefault="00C34CD8" w:rsidP="00C34CD8">
      <w:pPr>
        <w:spacing w:line="276" w:lineRule="auto"/>
        <w:jc w:val="left"/>
        <w:rPr>
          <w:rFonts w:asciiTheme="minorHAnsi" w:hAnsiTheme="minorHAnsi" w:cstheme="minorHAnsi"/>
          <w:color w:val="000000" w:themeColor="text1"/>
          <w:sz w:val="22"/>
          <w:szCs w:val="22"/>
        </w:rPr>
      </w:pPr>
      <w:r w:rsidRPr="00E0195E">
        <w:rPr>
          <w:rFonts w:asciiTheme="minorHAnsi" w:hAnsiTheme="minorHAnsi" w:cstheme="minorHAnsi"/>
          <w:sz w:val="22"/>
          <w:szCs w:val="22"/>
        </w:rPr>
        <w:t xml:space="preserve">předmět plnění servisní </w:t>
      </w:r>
      <w:proofErr w:type="spellStart"/>
      <w:r w:rsidRPr="00E0195E">
        <w:rPr>
          <w:rFonts w:asciiTheme="minorHAnsi" w:hAnsiTheme="minorHAnsi" w:cstheme="minorHAnsi"/>
          <w:sz w:val="22"/>
          <w:szCs w:val="22"/>
        </w:rPr>
        <w:t>kity</w:t>
      </w:r>
      <w:proofErr w:type="spellEnd"/>
      <w:r w:rsidRPr="00E0195E">
        <w:rPr>
          <w:rFonts w:asciiTheme="minorHAnsi" w:hAnsiTheme="minorHAnsi" w:cstheme="minorHAnsi"/>
          <w:sz w:val="22"/>
          <w:szCs w:val="22"/>
        </w:rPr>
        <w:t xml:space="preserve"> nedoporučuje </w:t>
      </w:r>
    </w:p>
    <w:p w14:paraId="77023095" w14:textId="77777777" w:rsidR="00C34CD8" w:rsidRPr="00011FE0" w:rsidRDefault="00C34CD8" w:rsidP="00C34CD8">
      <w:pPr>
        <w:spacing w:before="120" w:after="120" w:line="276" w:lineRule="auto"/>
        <w:rPr>
          <w:rFonts w:asciiTheme="minorHAnsi" w:hAnsiTheme="minorHAnsi" w:cstheme="minorHAnsi"/>
          <w:color w:val="000000" w:themeColor="text1"/>
          <w:sz w:val="22"/>
          <w:szCs w:val="22"/>
          <w:highlight w:val="green"/>
        </w:rPr>
      </w:pPr>
    </w:p>
    <w:p w14:paraId="2A0EC6F5" w14:textId="77777777" w:rsidR="00C34CD8" w:rsidRPr="00011FE0" w:rsidRDefault="00C34CD8" w:rsidP="00C34CD8">
      <w:pPr>
        <w:spacing w:before="120" w:after="120" w:line="276" w:lineRule="auto"/>
        <w:rPr>
          <w:rFonts w:asciiTheme="minorHAnsi" w:hAnsiTheme="minorHAnsi" w:cstheme="minorHAnsi"/>
          <w:sz w:val="22"/>
          <w:szCs w:val="22"/>
        </w:rPr>
      </w:pPr>
      <w:r w:rsidRPr="00011FE0">
        <w:rPr>
          <w:rFonts w:asciiTheme="minorHAnsi" w:hAnsiTheme="minorHAnsi" w:cstheme="minorHAnsi"/>
          <w:sz w:val="22"/>
          <w:szCs w:val="22"/>
          <w:highlight w:val="yellow"/>
        </w:rPr>
        <w:t>doplnit</w:t>
      </w:r>
    </w:p>
    <w:p w14:paraId="7900E187" w14:textId="2E63F176" w:rsidR="001108C5" w:rsidRPr="001108C5" w:rsidRDefault="001108C5" w:rsidP="001108C5">
      <w:pPr>
        <w:tabs>
          <w:tab w:val="left" w:pos="4008"/>
        </w:tabs>
        <w:ind w:left="0" w:firstLine="0"/>
        <w:rPr>
          <w:rFonts w:ascii="Arial Narrow" w:hAnsi="Arial Narrow"/>
          <w:sz w:val="22"/>
          <w:szCs w:val="22"/>
        </w:rPr>
      </w:pPr>
    </w:p>
    <w:sectPr w:rsidR="001108C5" w:rsidRPr="001108C5"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8DEF" w14:textId="77777777" w:rsidR="00A62844" w:rsidRDefault="00A62844">
      <w:r>
        <w:separator/>
      </w:r>
    </w:p>
  </w:endnote>
  <w:endnote w:type="continuationSeparator" w:id="0">
    <w:p w14:paraId="1A9158EB" w14:textId="77777777" w:rsidR="00A62844" w:rsidRDefault="00A62844">
      <w:r>
        <w:continuationSeparator/>
      </w:r>
    </w:p>
  </w:endnote>
  <w:endnote w:type="continuationNotice" w:id="1">
    <w:p w14:paraId="6C41BB2A" w14:textId="77777777" w:rsidR="00A62844" w:rsidRDefault="00A62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E3B7" w14:textId="77777777" w:rsidR="00A62844" w:rsidRDefault="00A62844">
      <w:r>
        <w:separator/>
      </w:r>
    </w:p>
  </w:footnote>
  <w:footnote w:type="continuationSeparator" w:id="0">
    <w:p w14:paraId="63ABCFF4" w14:textId="77777777" w:rsidR="00A62844" w:rsidRDefault="00A62844">
      <w:r>
        <w:continuationSeparator/>
      </w:r>
    </w:p>
  </w:footnote>
  <w:footnote w:type="continuationNotice" w:id="1">
    <w:p w14:paraId="5EAF3086" w14:textId="77777777" w:rsidR="00A62844" w:rsidRDefault="00A62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39D8"/>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AE6"/>
    <w:rsid w:val="000E6D6B"/>
    <w:rsid w:val="000F034E"/>
    <w:rsid w:val="000F2759"/>
    <w:rsid w:val="000F2A8C"/>
    <w:rsid w:val="000F3046"/>
    <w:rsid w:val="000F3C74"/>
    <w:rsid w:val="000F3DA0"/>
    <w:rsid w:val="000F6208"/>
    <w:rsid w:val="000F7DB8"/>
    <w:rsid w:val="001056E1"/>
    <w:rsid w:val="00105E5C"/>
    <w:rsid w:val="00106D55"/>
    <w:rsid w:val="001108C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316B"/>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14C3"/>
    <w:rsid w:val="004016BC"/>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663DE"/>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3A79"/>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93744"/>
    <w:rsid w:val="005A1FDB"/>
    <w:rsid w:val="005A5770"/>
    <w:rsid w:val="005A61DE"/>
    <w:rsid w:val="005B2A00"/>
    <w:rsid w:val="005B47F6"/>
    <w:rsid w:val="005B69FA"/>
    <w:rsid w:val="005B7637"/>
    <w:rsid w:val="005B76A1"/>
    <w:rsid w:val="005B7749"/>
    <w:rsid w:val="005B78DC"/>
    <w:rsid w:val="005B79B8"/>
    <w:rsid w:val="005C058A"/>
    <w:rsid w:val="005C1080"/>
    <w:rsid w:val="005C2679"/>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62CD"/>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241C"/>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64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2844"/>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97A"/>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C49"/>
    <w:rsid w:val="00BE6848"/>
    <w:rsid w:val="00BF11D9"/>
    <w:rsid w:val="00BF1A3A"/>
    <w:rsid w:val="00BF1CD5"/>
    <w:rsid w:val="00BF2C2A"/>
    <w:rsid w:val="00BF70B6"/>
    <w:rsid w:val="00C0025D"/>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4CD8"/>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3AC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0028"/>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5B0"/>
    <w:rsid w:val="00FB673C"/>
    <w:rsid w:val="00FB7417"/>
    <w:rsid w:val="00FB7B04"/>
    <w:rsid w:val="00FC061A"/>
    <w:rsid w:val="00FC09F6"/>
    <w:rsid w:val="00FD1C78"/>
    <w:rsid w:val="00FD2A98"/>
    <w:rsid w:val="00FD5E2E"/>
    <w:rsid w:val="00FD65DA"/>
    <w:rsid w:val="00FD66BD"/>
    <w:rsid w:val="00FD7E2A"/>
    <w:rsid w:val="00FE1205"/>
    <w:rsid w:val="00FE4CB0"/>
    <w:rsid w:val="00FE4F85"/>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nkova.andrea@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5598</Words>
  <Characters>33035</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38556</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2026-03-06T08:34:00Z</dcterms:created>
  <dcterms:modified xsi:type="dcterms:W3CDTF">2026-03-06T08:34:00Z</dcterms:modified>
</cp:coreProperties>
</file>