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E7D6" w14:textId="67C9E14A" w:rsidR="00B5539E" w:rsidRDefault="002331A6" w:rsidP="00685182">
      <w:pPr>
        <w:pStyle w:val="Nadpis2"/>
      </w:pPr>
      <w:r>
        <w:t>OBSAH TECHNICKÉHO ZADÁN</w:t>
      </w:r>
      <w:r w:rsidR="002A4B69">
        <w:t>Í</w:t>
      </w:r>
    </w:p>
    <w:p w14:paraId="094DEE1D" w14:textId="77777777" w:rsidR="00B5539E" w:rsidRDefault="002331A6">
      <w:pPr>
        <w:pStyle w:val="Nadpis3"/>
        <w:numPr>
          <w:ilvl w:val="0"/>
          <w:numId w:val="29"/>
        </w:numPr>
      </w:pPr>
      <w:r>
        <w:t>Úvod k technickému zadání</w:t>
      </w:r>
    </w:p>
    <w:p w14:paraId="0DB47B32" w14:textId="77777777" w:rsidR="00B5539E" w:rsidRPr="00685182" w:rsidRDefault="002331A6">
      <w:pPr>
        <w:numPr>
          <w:ilvl w:val="0"/>
          <w:numId w:val="28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Popis vize regionálního datového prostoru</w:t>
      </w:r>
    </w:p>
    <w:p w14:paraId="5FE6EA87" w14:textId="77777777" w:rsidR="00B5539E" w:rsidRPr="00685182" w:rsidRDefault="002331A6">
      <w:pPr>
        <w:numPr>
          <w:ilvl w:val="0"/>
          <w:numId w:val="28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Strategický význam řešení pro zadavatele a jeho partnery</w:t>
      </w:r>
    </w:p>
    <w:p w14:paraId="38C0342E" w14:textId="77777777" w:rsidR="00B5539E" w:rsidRPr="00685182" w:rsidRDefault="002331A6">
      <w:pPr>
        <w:numPr>
          <w:ilvl w:val="0"/>
          <w:numId w:val="28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 xml:space="preserve">Vztah k evropským iniciativám (Data </w:t>
      </w:r>
      <w:proofErr w:type="spellStart"/>
      <w:r w:rsidRPr="00685182">
        <w:rPr>
          <w:sz w:val="22"/>
          <w:szCs w:val="22"/>
        </w:rPr>
        <w:t>Spaces</w:t>
      </w:r>
      <w:proofErr w:type="spellEnd"/>
      <w:r w:rsidRPr="00685182">
        <w:rPr>
          <w:sz w:val="22"/>
          <w:szCs w:val="22"/>
        </w:rPr>
        <w:t xml:space="preserve"> Support Centre, GAIA-X, IDSA, </w:t>
      </w:r>
      <w:proofErr w:type="spellStart"/>
      <w:r w:rsidRPr="00685182">
        <w:rPr>
          <w:sz w:val="22"/>
          <w:szCs w:val="22"/>
        </w:rPr>
        <w:t>iSHARE</w:t>
      </w:r>
      <w:proofErr w:type="spellEnd"/>
      <w:r w:rsidRPr="00685182">
        <w:rPr>
          <w:sz w:val="22"/>
          <w:szCs w:val="22"/>
        </w:rPr>
        <w:t>, EDWG)</w:t>
      </w:r>
    </w:p>
    <w:p w14:paraId="409E9B35" w14:textId="77777777" w:rsidR="00B5539E" w:rsidRDefault="002331A6">
      <w:pPr>
        <w:pStyle w:val="Nadpis3"/>
        <w:numPr>
          <w:ilvl w:val="0"/>
          <w:numId w:val="29"/>
        </w:numPr>
      </w:pPr>
      <w:r>
        <w:t>Předmět plnění</w:t>
      </w:r>
    </w:p>
    <w:p w14:paraId="1FB51992" w14:textId="7F8527BD" w:rsidR="00B5539E" w:rsidRPr="00685182" w:rsidRDefault="002331A6">
      <w:pPr>
        <w:numPr>
          <w:ilvl w:val="0"/>
          <w:numId w:val="31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 xml:space="preserve">Návrh a realizace </w:t>
      </w:r>
      <w:r w:rsidR="00F61FC2" w:rsidRPr="00685182">
        <w:rPr>
          <w:sz w:val="22"/>
          <w:szCs w:val="22"/>
        </w:rPr>
        <w:t xml:space="preserve">škálovatelné </w:t>
      </w:r>
      <w:r w:rsidRPr="00685182">
        <w:rPr>
          <w:sz w:val="22"/>
          <w:szCs w:val="22"/>
        </w:rPr>
        <w:t>technologické architektury datového prostoru</w:t>
      </w:r>
      <w:r w:rsidR="00F61FC2" w:rsidRPr="00685182">
        <w:rPr>
          <w:sz w:val="22"/>
          <w:szCs w:val="22"/>
        </w:rPr>
        <w:t xml:space="preserve"> v předpokládaném rozsahu až 100 konektorů s možností budoucího rozšiřování bez nutnosti kompletní rekonstrukce řešení</w:t>
      </w:r>
    </w:p>
    <w:p w14:paraId="01A2BD4D" w14:textId="77777777" w:rsidR="00B5539E" w:rsidRPr="00685182" w:rsidRDefault="002331A6">
      <w:pPr>
        <w:numPr>
          <w:ilvl w:val="0"/>
          <w:numId w:val="31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Zajištění souladu s referenčním modelem architektury IDSA (IDS-RAM).</w:t>
      </w:r>
    </w:p>
    <w:p w14:paraId="5B44DC7B" w14:textId="1271EA9C" w:rsidR="00B5539E" w:rsidRPr="00685182" w:rsidRDefault="002331A6">
      <w:pPr>
        <w:numPr>
          <w:ilvl w:val="0"/>
          <w:numId w:val="31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Sla</w:t>
      </w:r>
      <w:r w:rsidR="00686CC4" w:rsidRPr="00685182">
        <w:rPr>
          <w:sz w:val="22"/>
          <w:szCs w:val="22"/>
        </w:rPr>
        <w:t>d</w:t>
      </w:r>
      <w:r w:rsidRPr="00685182">
        <w:rPr>
          <w:sz w:val="22"/>
          <w:szCs w:val="22"/>
        </w:rPr>
        <w:t xml:space="preserve">ění se společným evropským rámcem důvěryhodnosti datového prostoru (např. GAIA-X, </w:t>
      </w:r>
      <w:proofErr w:type="spellStart"/>
      <w:r w:rsidRPr="00685182">
        <w:rPr>
          <w:sz w:val="22"/>
          <w:szCs w:val="22"/>
        </w:rPr>
        <w:t>iSHARE</w:t>
      </w:r>
      <w:proofErr w:type="spellEnd"/>
      <w:r w:rsidRPr="00685182">
        <w:rPr>
          <w:sz w:val="22"/>
          <w:szCs w:val="22"/>
        </w:rPr>
        <w:t>, ...)</w:t>
      </w:r>
    </w:p>
    <w:p w14:paraId="7BCB4CA6" w14:textId="325281C3" w:rsidR="00B5539E" w:rsidRPr="00685182" w:rsidRDefault="002331A6">
      <w:pPr>
        <w:numPr>
          <w:ilvl w:val="0"/>
          <w:numId w:val="31"/>
        </w:numPr>
        <w:spacing w:after="0"/>
        <w:ind w:left="714" w:hanging="357"/>
        <w:rPr>
          <w:sz w:val="22"/>
          <w:szCs w:val="22"/>
        </w:rPr>
      </w:pPr>
      <w:bookmarkStart w:id="0" w:name="_heading=h.j0yuaqoyxtjj" w:colFirst="0" w:colLast="0"/>
      <w:bookmarkEnd w:id="0"/>
      <w:r w:rsidRPr="00685182">
        <w:rPr>
          <w:sz w:val="22"/>
          <w:szCs w:val="22"/>
        </w:rPr>
        <w:t>Součástí je dodání základních komponent (např. konektory, služba identity, katalogy metadat), jejich konfigurace a provozní podpora včetně dokumentace</w:t>
      </w:r>
    </w:p>
    <w:p w14:paraId="41486C2C" w14:textId="77777777" w:rsidR="00B5539E" w:rsidRDefault="002331A6">
      <w:pPr>
        <w:pStyle w:val="Nadpis3"/>
        <w:numPr>
          <w:ilvl w:val="0"/>
          <w:numId w:val="29"/>
        </w:numPr>
      </w:pPr>
      <w:r>
        <w:t>Funkční požadavky</w:t>
      </w:r>
    </w:p>
    <w:p w14:paraId="126AB52B" w14:textId="77777777" w:rsidR="00B5539E" w:rsidRPr="00685182" w:rsidRDefault="002331A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Možnost federovaného a decentralizovaného provozu</w:t>
      </w:r>
    </w:p>
    <w:p w14:paraId="22B4FCA7" w14:textId="77777777" w:rsidR="00B5539E" w:rsidRPr="00685182" w:rsidRDefault="002331A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 xml:space="preserve">Správa přístupových práv a smluvních podmínek (data </w:t>
      </w:r>
      <w:proofErr w:type="spellStart"/>
      <w:r w:rsidRPr="00685182">
        <w:rPr>
          <w:sz w:val="22"/>
          <w:szCs w:val="22"/>
        </w:rPr>
        <w:t>usage</w:t>
      </w:r>
      <w:proofErr w:type="spellEnd"/>
      <w:r w:rsidRPr="00685182">
        <w:rPr>
          <w:sz w:val="22"/>
          <w:szCs w:val="22"/>
        </w:rPr>
        <w:t xml:space="preserve"> </w:t>
      </w:r>
      <w:proofErr w:type="spellStart"/>
      <w:r w:rsidRPr="00685182">
        <w:rPr>
          <w:sz w:val="22"/>
          <w:szCs w:val="22"/>
        </w:rPr>
        <w:t>policies</w:t>
      </w:r>
      <w:proofErr w:type="spellEnd"/>
      <w:r w:rsidRPr="00685182">
        <w:rPr>
          <w:sz w:val="22"/>
          <w:szCs w:val="22"/>
        </w:rPr>
        <w:t>)</w:t>
      </w:r>
    </w:p>
    <w:p w14:paraId="144D57D4" w14:textId="77777777" w:rsidR="00B5539E" w:rsidRPr="00685182" w:rsidRDefault="002331A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Možnost připojení externích účastníků (např. obce, IZS, soukromí provozovatelé)</w:t>
      </w:r>
    </w:p>
    <w:p w14:paraId="762F2C97" w14:textId="77777777" w:rsidR="00B5539E" w:rsidRPr="00685182" w:rsidRDefault="002331A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Auditovatelnost a sledovatelnost přenosů dat</w:t>
      </w:r>
    </w:p>
    <w:p w14:paraId="0ACE8F20" w14:textId="77777777" w:rsidR="00B5539E" w:rsidRDefault="002331A6">
      <w:pPr>
        <w:pStyle w:val="Nadpis3"/>
        <w:numPr>
          <w:ilvl w:val="0"/>
          <w:numId w:val="29"/>
        </w:numPr>
      </w:pPr>
      <w:r>
        <w:t>Technické požadavky</w:t>
      </w:r>
    </w:p>
    <w:p w14:paraId="31557240" w14:textId="77777777" w:rsidR="00B5539E" w:rsidRPr="00685182" w:rsidRDefault="002331A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Kompatibilita s otevřenými standardy (IDS, GAIA-X, W3C, ISO/IEC, EDWG)</w:t>
      </w:r>
    </w:p>
    <w:p w14:paraId="360CE0DC" w14:textId="77777777" w:rsidR="00B5539E" w:rsidRPr="00685182" w:rsidRDefault="002331A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Použitelnost v hybridním (cloud/on-premise) prostředí</w:t>
      </w:r>
    </w:p>
    <w:p w14:paraId="271B2912" w14:textId="77777777" w:rsidR="00B5539E" w:rsidRPr="00685182" w:rsidRDefault="002331A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 xml:space="preserve">Podpora evropské identity (EUDI </w:t>
      </w:r>
      <w:proofErr w:type="spellStart"/>
      <w:r w:rsidRPr="00685182">
        <w:rPr>
          <w:sz w:val="22"/>
          <w:szCs w:val="22"/>
        </w:rPr>
        <w:t>Wallet</w:t>
      </w:r>
      <w:proofErr w:type="spellEnd"/>
      <w:r w:rsidRPr="00685182">
        <w:rPr>
          <w:sz w:val="22"/>
          <w:szCs w:val="22"/>
        </w:rPr>
        <w:t xml:space="preserve">, </w:t>
      </w:r>
      <w:proofErr w:type="spellStart"/>
      <w:r w:rsidRPr="00685182">
        <w:rPr>
          <w:sz w:val="22"/>
          <w:szCs w:val="22"/>
        </w:rPr>
        <w:t>eIDAS</w:t>
      </w:r>
      <w:proofErr w:type="spellEnd"/>
      <w:r w:rsidRPr="00685182">
        <w:rPr>
          <w:sz w:val="22"/>
          <w:szCs w:val="22"/>
        </w:rPr>
        <w:t xml:space="preserve"> 2.0)</w:t>
      </w:r>
    </w:p>
    <w:p w14:paraId="58036683" w14:textId="77777777" w:rsidR="00B5539E" w:rsidRPr="00685182" w:rsidRDefault="002331A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 xml:space="preserve">Prokazatelné zajištění kybernetické bezpečnosti (ENISA, NIS2 </w:t>
      </w:r>
      <w:proofErr w:type="spellStart"/>
      <w:r w:rsidRPr="00685182">
        <w:rPr>
          <w:sz w:val="22"/>
          <w:szCs w:val="22"/>
        </w:rPr>
        <w:t>ready</w:t>
      </w:r>
      <w:proofErr w:type="spellEnd"/>
      <w:r w:rsidRPr="00685182">
        <w:rPr>
          <w:sz w:val="22"/>
          <w:szCs w:val="22"/>
        </w:rPr>
        <w:t>)</w:t>
      </w:r>
    </w:p>
    <w:p w14:paraId="15809AAA" w14:textId="77777777" w:rsidR="00B5539E" w:rsidRDefault="002331A6">
      <w:pPr>
        <w:pStyle w:val="Nadpis3"/>
        <w:numPr>
          <w:ilvl w:val="0"/>
          <w:numId w:val="29"/>
        </w:numPr>
      </w:pPr>
      <w:r>
        <w:t>Požadavky na interoperabilitu</w:t>
      </w:r>
    </w:p>
    <w:p w14:paraId="01BA34E4" w14:textId="77777777" w:rsidR="00B5539E" w:rsidRPr="00685182" w:rsidRDefault="002331A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 xml:space="preserve">Interoperabilita s jinými evropskými datovými prostory (např. mobility, </w:t>
      </w:r>
      <w:proofErr w:type="spellStart"/>
      <w:r w:rsidRPr="00685182">
        <w:rPr>
          <w:sz w:val="22"/>
          <w:szCs w:val="22"/>
        </w:rPr>
        <w:t>tourism</w:t>
      </w:r>
      <w:proofErr w:type="spellEnd"/>
      <w:r w:rsidRPr="00685182">
        <w:rPr>
          <w:sz w:val="22"/>
          <w:szCs w:val="22"/>
        </w:rPr>
        <w:t xml:space="preserve">, </w:t>
      </w:r>
      <w:proofErr w:type="spellStart"/>
      <w:r w:rsidRPr="00685182">
        <w:rPr>
          <w:sz w:val="22"/>
          <w:szCs w:val="22"/>
        </w:rPr>
        <w:t>health</w:t>
      </w:r>
      <w:proofErr w:type="spellEnd"/>
      <w:r w:rsidRPr="00685182">
        <w:rPr>
          <w:sz w:val="22"/>
          <w:szCs w:val="22"/>
        </w:rPr>
        <w:t>)</w:t>
      </w:r>
    </w:p>
    <w:p w14:paraId="5F8BCD18" w14:textId="77777777" w:rsidR="00B5539E" w:rsidRPr="00685182" w:rsidRDefault="002331A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Podpora pro standardizované datové modely (např. DCAT-AP, NGSI-LD)</w:t>
      </w:r>
    </w:p>
    <w:p w14:paraId="1147E964" w14:textId="77777777" w:rsidR="00B5539E" w:rsidRPr="00685182" w:rsidRDefault="002331A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Export dat do externích analytických nástrojů a BI systémů</w:t>
      </w:r>
    </w:p>
    <w:p w14:paraId="0ED15961" w14:textId="77777777" w:rsidR="00B5539E" w:rsidRDefault="002331A6">
      <w:pPr>
        <w:pStyle w:val="Nadpis3"/>
        <w:numPr>
          <w:ilvl w:val="0"/>
          <w:numId w:val="29"/>
        </w:numPr>
      </w:pPr>
      <w:r>
        <w:t>Organizační a implementační požadavky</w:t>
      </w:r>
    </w:p>
    <w:p w14:paraId="49F45CEC" w14:textId="35102F48" w:rsidR="001E3596" w:rsidRPr="00685182" w:rsidRDefault="002331A6" w:rsidP="001E3596">
      <w:pPr>
        <w:numPr>
          <w:ilvl w:val="0"/>
          <w:numId w:val="34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Fáze projektu (analýza, návrh, vývoj, pilotní provoz, dokumentace)</w:t>
      </w:r>
    </w:p>
    <w:p w14:paraId="43C68B7A" w14:textId="2CD79C99" w:rsidR="001E3596" w:rsidRDefault="001E3596" w:rsidP="001E3596">
      <w:pPr>
        <w:pStyle w:val="Nadpis3"/>
        <w:numPr>
          <w:ilvl w:val="0"/>
          <w:numId w:val="29"/>
        </w:numPr>
      </w:pPr>
      <w:r>
        <w:t>Slovník pojmů k datovému prostoru</w:t>
      </w:r>
    </w:p>
    <w:p w14:paraId="46773B07" w14:textId="77777777" w:rsidR="00261AB9" w:rsidRPr="00685182" w:rsidRDefault="00261AB9">
      <w:pPr>
        <w:rPr>
          <w:rFonts w:asciiTheme="minorHAnsi" w:eastAsiaTheme="majorEastAsia" w:hAnsiTheme="minorHAnsi" w:cstheme="majorBidi"/>
          <w:color w:val="2F5496" w:themeColor="accent1" w:themeShade="BF"/>
          <w:sz w:val="28"/>
          <w:szCs w:val="28"/>
        </w:rPr>
      </w:pPr>
      <w:r w:rsidRPr="00685182">
        <w:rPr>
          <w:sz w:val="22"/>
          <w:szCs w:val="22"/>
        </w:rPr>
        <w:br w:type="page"/>
      </w:r>
    </w:p>
    <w:p w14:paraId="73BBB4D4" w14:textId="4E12E8BB" w:rsidR="00B5539E" w:rsidRDefault="002331A6">
      <w:pPr>
        <w:pStyle w:val="Nadpis2"/>
        <w:numPr>
          <w:ilvl w:val="0"/>
          <w:numId w:val="3"/>
        </w:numPr>
        <w:ind w:left="708"/>
      </w:pPr>
      <w:r>
        <w:lastRenderedPageBreak/>
        <w:t>Úvod k technickému zadání</w:t>
      </w:r>
    </w:p>
    <w:p w14:paraId="03150BED" w14:textId="1372CDE3" w:rsidR="00B5539E" w:rsidRPr="00685182" w:rsidRDefault="002331A6" w:rsidP="00261AB9">
      <w:pPr>
        <w:jc w:val="both"/>
        <w:rPr>
          <w:strike/>
          <w:sz w:val="22"/>
          <w:szCs w:val="22"/>
        </w:rPr>
      </w:pPr>
      <w:r w:rsidRPr="00685182">
        <w:rPr>
          <w:sz w:val="22"/>
          <w:szCs w:val="22"/>
        </w:rPr>
        <w:t xml:space="preserve">Krajský úřad Královéhradeckého kraje (dále jen „zadavatel“) připravuje zadání veřejné zakázky na výběr dodavatele technologie a služeb nutných pro zprovoznění </w:t>
      </w:r>
      <w:r w:rsidRPr="00685182">
        <w:rPr>
          <w:b/>
          <w:sz w:val="22"/>
          <w:szCs w:val="22"/>
        </w:rPr>
        <w:t>datového prostoru</w:t>
      </w:r>
      <w:r w:rsidRPr="00685182">
        <w:rPr>
          <w:sz w:val="22"/>
          <w:szCs w:val="22"/>
        </w:rPr>
        <w:t xml:space="preserve"> v</w:t>
      </w:r>
      <w:r w:rsidR="00261AB9" w:rsidRPr="00685182">
        <w:rPr>
          <w:sz w:val="22"/>
          <w:szCs w:val="22"/>
        </w:rPr>
        <w:t> </w:t>
      </w:r>
      <w:r w:rsidRPr="00685182">
        <w:rPr>
          <w:sz w:val="22"/>
          <w:szCs w:val="22"/>
        </w:rPr>
        <w:t xml:space="preserve">souladu s referenční architekturou a souborem pravidel IDSA a společnými evropskými rámci důvěryhodnosti datového prostoru (např. GAIA-X, </w:t>
      </w:r>
      <w:proofErr w:type="spellStart"/>
      <w:r w:rsidRPr="00685182">
        <w:rPr>
          <w:sz w:val="22"/>
          <w:szCs w:val="22"/>
        </w:rPr>
        <w:t>iSHARE</w:t>
      </w:r>
      <w:proofErr w:type="spellEnd"/>
      <w:r w:rsidRPr="00685182">
        <w:rPr>
          <w:sz w:val="22"/>
          <w:szCs w:val="22"/>
        </w:rPr>
        <w:t xml:space="preserve">, ...). Tento datový prostor bude sloužit jako základ pro </w:t>
      </w:r>
      <w:r w:rsidRPr="00685182">
        <w:rPr>
          <w:b/>
          <w:sz w:val="22"/>
          <w:szCs w:val="22"/>
        </w:rPr>
        <w:t>interoperabilní, bezpečné a důvěryhodné sdílení dat</w:t>
      </w:r>
      <w:r w:rsidRPr="00685182">
        <w:rPr>
          <w:sz w:val="22"/>
          <w:szCs w:val="22"/>
        </w:rPr>
        <w:t xml:space="preserve"> mezi různými aktéry veřejné správy, soukromého sektoru a</w:t>
      </w:r>
      <w:r w:rsidR="00685182">
        <w:rPr>
          <w:sz w:val="22"/>
          <w:szCs w:val="22"/>
        </w:rPr>
        <w:t> </w:t>
      </w:r>
      <w:r w:rsidRPr="00685182">
        <w:rPr>
          <w:sz w:val="22"/>
          <w:szCs w:val="22"/>
        </w:rPr>
        <w:t>výzkumných organizací v oblasti cestovního ruchu a sním spojených problematik.</w:t>
      </w:r>
    </w:p>
    <w:p w14:paraId="59772D95" w14:textId="76EDE004" w:rsidR="00B5539E" w:rsidRPr="00685182" w:rsidRDefault="002331A6" w:rsidP="00261AB9">
      <w:pPr>
        <w:jc w:val="both"/>
        <w:rPr>
          <w:sz w:val="22"/>
          <w:szCs w:val="22"/>
        </w:rPr>
      </w:pPr>
      <w:r w:rsidRPr="00685182">
        <w:rPr>
          <w:sz w:val="22"/>
          <w:szCs w:val="22"/>
        </w:rPr>
        <w:t xml:space="preserve">Tento dokument slouží jako </w:t>
      </w:r>
      <w:r w:rsidRPr="00685182">
        <w:rPr>
          <w:b/>
          <w:sz w:val="22"/>
          <w:szCs w:val="22"/>
        </w:rPr>
        <w:t>technické zadání</w:t>
      </w:r>
      <w:r w:rsidRPr="00685182">
        <w:rPr>
          <w:sz w:val="22"/>
          <w:szCs w:val="22"/>
        </w:rPr>
        <w:t>, které vymezuje rámcové požadavky zadavatele na předmět plnění, a zároveň stanovuje strukturu, ve které budou v dalším průběhu jednání doplněny a</w:t>
      </w:r>
      <w:r w:rsidR="00685182">
        <w:rPr>
          <w:sz w:val="22"/>
          <w:szCs w:val="22"/>
        </w:rPr>
        <w:t> </w:t>
      </w:r>
      <w:r w:rsidRPr="00685182">
        <w:rPr>
          <w:sz w:val="22"/>
          <w:szCs w:val="22"/>
        </w:rPr>
        <w:t>upřesněny konkrétní specifikace, harmonogram a požadavky na interoperabilitu, škálovatelnost a</w:t>
      </w:r>
      <w:r w:rsidR="00685182">
        <w:rPr>
          <w:sz w:val="22"/>
          <w:szCs w:val="22"/>
        </w:rPr>
        <w:t> </w:t>
      </w:r>
      <w:r w:rsidRPr="00685182">
        <w:rPr>
          <w:sz w:val="22"/>
          <w:szCs w:val="22"/>
        </w:rPr>
        <w:t>bezpečnost.</w:t>
      </w:r>
    </w:p>
    <w:p w14:paraId="6297B63F" w14:textId="77777777" w:rsidR="00261AB9" w:rsidRPr="00685182" w:rsidRDefault="00261AB9" w:rsidP="00261AB9">
      <w:pPr>
        <w:jc w:val="both"/>
        <w:rPr>
          <w:sz w:val="22"/>
          <w:szCs w:val="22"/>
        </w:rPr>
      </w:pPr>
    </w:p>
    <w:p w14:paraId="4C1C8698" w14:textId="77777777" w:rsidR="00B5539E" w:rsidRDefault="002331A6">
      <w:pPr>
        <w:pStyle w:val="Nadpis2"/>
        <w:numPr>
          <w:ilvl w:val="0"/>
          <w:numId w:val="3"/>
        </w:numPr>
        <w:ind w:left="708"/>
      </w:pPr>
      <w:r>
        <w:t>Předmět plnění</w:t>
      </w:r>
    </w:p>
    <w:p w14:paraId="7D646169" w14:textId="77777777" w:rsidR="00B5539E" w:rsidRPr="00685182" w:rsidRDefault="002331A6" w:rsidP="00261AB9">
      <w:pPr>
        <w:jc w:val="both"/>
        <w:rPr>
          <w:sz w:val="22"/>
          <w:szCs w:val="22"/>
        </w:rPr>
      </w:pPr>
      <w:r w:rsidRPr="00685182">
        <w:rPr>
          <w:sz w:val="22"/>
          <w:szCs w:val="22"/>
        </w:rPr>
        <w:t xml:space="preserve">Předmětem veřejné zakázky je návrh, dodání a implementace </w:t>
      </w:r>
      <w:r w:rsidRPr="00685182">
        <w:rPr>
          <w:b/>
          <w:sz w:val="22"/>
          <w:szCs w:val="22"/>
        </w:rPr>
        <w:t>datového prostoru</w:t>
      </w:r>
      <w:r w:rsidRPr="00685182">
        <w:rPr>
          <w:sz w:val="22"/>
          <w:szCs w:val="22"/>
        </w:rPr>
        <w:t xml:space="preserve"> (data </w:t>
      </w:r>
      <w:proofErr w:type="spellStart"/>
      <w:r w:rsidRPr="00685182">
        <w:rPr>
          <w:sz w:val="22"/>
          <w:szCs w:val="22"/>
        </w:rPr>
        <w:t>space</w:t>
      </w:r>
      <w:proofErr w:type="spellEnd"/>
      <w:r w:rsidRPr="00685182">
        <w:rPr>
          <w:sz w:val="22"/>
          <w:szCs w:val="22"/>
        </w:rPr>
        <w:t>), který bude odpovídat technickým a organizačním principům vymezeným ve standardech:</w:t>
      </w:r>
    </w:p>
    <w:p w14:paraId="0EFA0471" w14:textId="77777777" w:rsidR="00B5539E" w:rsidRPr="00685182" w:rsidRDefault="002331A6">
      <w:pPr>
        <w:numPr>
          <w:ilvl w:val="0"/>
          <w:numId w:val="48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referenční architektura a soubor pravidel IDSA</w:t>
      </w:r>
      <w:r w:rsidRPr="00685182">
        <w:rPr>
          <w:b/>
          <w:sz w:val="22"/>
          <w:szCs w:val="22"/>
        </w:rPr>
        <w:t xml:space="preserve"> (IDS-RAM, IDS </w:t>
      </w:r>
      <w:proofErr w:type="spellStart"/>
      <w:r w:rsidRPr="00685182">
        <w:rPr>
          <w:b/>
          <w:sz w:val="22"/>
          <w:szCs w:val="22"/>
        </w:rPr>
        <w:t>Rulebook</w:t>
      </w:r>
      <w:proofErr w:type="spellEnd"/>
      <w:r w:rsidRPr="00685182">
        <w:rPr>
          <w:b/>
          <w:sz w:val="22"/>
          <w:szCs w:val="22"/>
        </w:rPr>
        <w:t>)</w:t>
      </w:r>
      <w:r w:rsidRPr="00685182">
        <w:rPr>
          <w:sz w:val="22"/>
          <w:szCs w:val="22"/>
        </w:rPr>
        <w:t xml:space="preserve"> a společnými evropskými rámci důvěryhodnosti datového prostoru (např. GAIA-X, </w:t>
      </w:r>
      <w:proofErr w:type="spellStart"/>
      <w:r w:rsidRPr="00685182">
        <w:rPr>
          <w:sz w:val="22"/>
          <w:szCs w:val="22"/>
        </w:rPr>
        <w:t>iSHARE</w:t>
      </w:r>
      <w:proofErr w:type="spellEnd"/>
      <w:r w:rsidRPr="00685182">
        <w:rPr>
          <w:sz w:val="22"/>
          <w:szCs w:val="22"/>
        </w:rPr>
        <w:t>, ...).</w:t>
      </w:r>
    </w:p>
    <w:p w14:paraId="288909F1" w14:textId="77777777" w:rsidR="00B5539E" w:rsidRPr="00685182" w:rsidRDefault="002331A6">
      <w:pPr>
        <w:numPr>
          <w:ilvl w:val="0"/>
          <w:numId w:val="48"/>
        </w:numPr>
        <w:rPr>
          <w:sz w:val="22"/>
          <w:szCs w:val="22"/>
        </w:rPr>
      </w:pPr>
      <w:r w:rsidRPr="00685182">
        <w:rPr>
          <w:sz w:val="22"/>
          <w:szCs w:val="22"/>
        </w:rPr>
        <w:t xml:space="preserve">specifikace zveřejnění Data </w:t>
      </w:r>
      <w:proofErr w:type="spellStart"/>
      <w:r w:rsidRPr="00685182">
        <w:rPr>
          <w:sz w:val="22"/>
          <w:szCs w:val="22"/>
        </w:rPr>
        <w:t>Spaces</w:t>
      </w:r>
      <w:proofErr w:type="spellEnd"/>
      <w:r w:rsidRPr="00685182">
        <w:rPr>
          <w:sz w:val="22"/>
          <w:szCs w:val="22"/>
        </w:rPr>
        <w:t xml:space="preserve"> Support Centre (</w:t>
      </w:r>
      <w:r w:rsidRPr="00685182">
        <w:rPr>
          <w:b/>
          <w:sz w:val="22"/>
          <w:szCs w:val="22"/>
        </w:rPr>
        <w:t>DSSC</w:t>
      </w:r>
      <w:r w:rsidRPr="00685182">
        <w:rPr>
          <w:sz w:val="22"/>
          <w:szCs w:val="22"/>
        </w:rPr>
        <w:t>)</w:t>
      </w:r>
      <w:r w:rsidRPr="00685182">
        <w:rPr>
          <w:b/>
          <w:sz w:val="22"/>
          <w:szCs w:val="22"/>
        </w:rPr>
        <w:t xml:space="preserve"> </w:t>
      </w:r>
    </w:p>
    <w:p w14:paraId="2C4F2071" w14:textId="65527EDC" w:rsidR="00B5539E" w:rsidRPr="00685182" w:rsidRDefault="002331A6" w:rsidP="00261AB9">
      <w:pPr>
        <w:jc w:val="both"/>
        <w:rPr>
          <w:sz w:val="22"/>
          <w:szCs w:val="22"/>
        </w:rPr>
      </w:pPr>
      <w:r w:rsidRPr="00685182">
        <w:rPr>
          <w:sz w:val="22"/>
          <w:szCs w:val="22"/>
        </w:rPr>
        <w:t xml:space="preserve">Cílem je umožnit </w:t>
      </w:r>
      <w:r w:rsidRPr="00685182">
        <w:rPr>
          <w:b/>
          <w:sz w:val="22"/>
          <w:szCs w:val="22"/>
        </w:rPr>
        <w:t xml:space="preserve">bezpečné, suverénní, </w:t>
      </w:r>
      <w:proofErr w:type="spellStart"/>
      <w:r w:rsidRPr="00685182">
        <w:rPr>
          <w:b/>
          <w:sz w:val="22"/>
          <w:szCs w:val="22"/>
        </w:rPr>
        <w:t>auditovatelné</w:t>
      </w:r>
      <w:proofErr w:type="spellEnd"/>
      <w:r w:rsidRPr="00685182">
        <w:rPr>
          <w:b/>
          <w:sz w:val="22"/>
          <w:szCs w:val="22"/>
        </w:rPr>
        <w:t xml:space="preserve"> a smluvně řízené sdílení dat</w:t>
      </w:r>
      <w:r w:rsidRPr="00685182">
        <w:rPr>
          <w:sz w:val="22"/>
          <w:szCs w:val="22"/>
        </w:rPr>
        <w:t xml:space="preserve"> mezi různými typy účastníků (např. veřejná správa, samosprávy, IZS, výzkumné organizace, firmy) v</w:t>
      </w:r>
      <w:r w:rsidR="00B123F5" w:rsidRPr="00685182">
        <w:rPr>
          <w:sz w:val="22"/>
          <w:szCs w:val="22"/>
        </w:rPr>
        <w:t> </w:t>
      </w:r>
      <w:r w:rsidRPr="00685182">
        <w:rPr>
          <w:sz w:val="22"/>
          <w:szCs w:val="22"/>
        </w:rPr>
        <w:t xml:space="preserve">rámci jednoho federovaného ekosystému. </w:t>
      </w:r>
    </w:p>
    <w:p w14:paraId="729C6A3C" w14:textId="77777777" w:rsidR="00B5539E" w:rsidRDefault="002331A6">
      <w:pPr>
        <w:pStyle w:val="Nadpis3"/>
        <w:numPr>
          <w:ilvl w:val="1"/>
          <w:numId w:val="35"/>
        </w:numPr>
        <w:ind w:left="1418" w:hanging="1058"/>
      </w:pPr>
      <w:r>
        <w:t>Součásti plnění</w:t>
      </w:r>
    </w:p>
    <w:p w14:paraId="75A4822B" w14:textId="77777777" w:rsidR="00B5539E" w:rsidRPr="00685182" w:rsidRDefault="002331A6">
      <w:pPr>
        <w:rPr>
          <w:sz w:val="22"/>
          <w:szCs w:val="22"/>
        </w:rPr>
      </w:pPr>
      <w:r w:rsidRPr="00685182">
        <w:rPr>
          <w:sz w:val="22"/>
          <w:szCs w:val="22"/>
        </w:rPr>
        <w:t>Plnění se skládá z následujících hlavních prvků:</w:t>
      </w:r>
    </w:p>
    <w:p w14:paraId="4322ADEC" w14:textId="77777777" w:rsidR="00B5539E" w:rsidRDefault="002331A6">
      <w:pPr>
        <w:pStyle w:val="Nadpis4"/>
        <w:numPr>
          <w:ilvl w:val="0"/>
          <w:numId w:val="32"/>
        </w:numPr>
        <w:ind w:left="357" w:hanging="357"/>
      </w:pPr>
      <w:r>
        <w:t>Dodání komponent datového prostoru</w:t>
      </w:r>
    </w:p>
    <w:p w14:paraId="24770BC8" w14:textId="2435BB8C" w:rsidR="00B5539E" w:rsidRPr="00685182" w:rsidRDefault="002331A6" w:rsidP="00261AB9">
      <w:pPr>
        <w:jc w:val="both"/>
        <w:rPr>
          <w:sz w:val="22"/>
          <w:szCs w:val="22"/>
        </w:rPr>
      </w:pPr>
      <w:r w:rsidRPr="00685182">
        <w:rPr>
          <w:sz w:val="22"/>
          <w:szCs w:val="22"/>
        </w:rPr>
        <w:t>Dodavatel navrhne, implementuje a zprovozní níže uvedenou sadu softwarových komponent, tvořících základní infrastrukturu datového prostoru v souladu s referenční architekturou a</w:t>
      </w:r>
      <w:r w:rsidR="00261AB9" w:rsidRPr="00685182">
        <w:rPr>
          <w:sz w:val="22"/>
          <w:szCs w:val="22"/>
        </w:rPr>
        <w:t> </w:t>
      </w:r>
      <w:r w:rsidRPr="00685182">
        <w:rPr>
          <w:sz w:val="22"/>
          <w:szCs w:val="22"/>
        </w:rPr>
        <w:t xml:space="preserve">souborem pravidel IDSA a společnými evropskými rámci důvěryhodnosti datového prostoru (např. GAIA-X, </w:t>
      </w:r>
      <w:proofErr w:type="spellStart"/>
      <w:r w:rsidRPr="00685182">
        <w:rPr>
          <w:sz w:val="22"/>
          <w:szCs w:val="22"/>
        </w:rPr>
        <w:t>iSHARE</w:t>
      </w:r>
      <w:proofErr w:type="spellEnd"/>
      <w:r w:rsidRPr="00685182">
        <w:rPr>
          <w:sz w:val="22"/>
          <w:szCs w:val="22"/>
        </w:rPr>
        <w:t>, ...):</w:t>
      </w:r>
    </w:p>
    <w:p w14:paraId="612A433C" w14:textId="2D623694" w:rsidR="00B5539E" w:rsidRPr="00685182" w:rsidRDefault="00261AB9">
      <w:pPr>
        <w:rPr>
          <w:sz w:val="22"/>
          <w:szCs w:val="22"/>
        </w:rPr>
      </w:pPr>
      <w:r w:rsidRPr="00685182">
        <w:rPr>
          <w:sz w:val="22"/>
          <w:szCs w:val="22"/>
        </w:rPr>
        <w:br w:type="page"/>
      </w:r>
    </w:p>
    <w:tbl>
      <w:tblPr>
        <w:tblStyle w:val="a"/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899"/>
        <w:gridCol w:w="5943"/>
      </w:tblGrid>
      <w:tr w:rsidR="00B5539E" w14:paraId="2666AB63" w14:textId="77777777" w:rsidTr="00685182"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8716" w14:textId="1FCE876A" w:rsidR="00B5539E" w:rsidRPr="00685182" w:rsidRDefault="00685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K</w:t>
            </w:r>
            <w:r w:rsidR="002331A6" w:rsidRPr="00685182">
              <w:rPr>
                <w:b/>
                <w:sz w:val="22"/>
                <w:szCs w:val="22"/>
              </w:rPr>
              <w:t>omponenta</w:t>
            </w:r>
          </w:p>
        </w:tc>
        <w:tc>
          <w:tcPr>
            <w:tcW w:w="5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A0CB7" w14:textId="615CF47F" w:rsidR="00B5539E" w:rsidRPr="00685182" w:rsidRDefault="00685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2331A6" w:rsidRPr="00685182">
              <w:rPr>
                <w:b/>
                <w:sz w:val="22"/>
                <w:szCs w:val="22"/>
              </w:rPr>
              <w:t>opis funkce</w:t>
            </w:r>
          </w:p>
        </w:tc>
      </w:tr>
      <w:tr w:rsidR="00B5539E" w14:paraId="75A65FBC" w14:textId="77777777" w:rsidTr="00685182">
        <w:trPr>
          <w:trHeight w:val="251"/>
        </w:trPr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9C5D0" w14:textId="77777777" w:rsidR="00B5539E" w:rsidRPr="00685182" w:rsidRDefault="002331A6" w:rsidP="00685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>Konektor (např. IDS, EDC, …)</w:t>
            </w:r>
          </w:p>
        </w:tc>
        <w:tc>
          <w:tcPr>
            <w:tcW w:w="5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9608" w14:textId="09E4F2A9" w:rsidR="00B5539E" w:rsidRPr="00685182" w:rsidRDefault="002331A6" w:rsidP="00685182">
            <w:pPr>
              <w:spacing w:after="0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>Umožňuje nahrávání, sdílení a přijímání dat mezi účastníky datového prostoru při dodržení zásad datové suverenity a</w:t>
            </w:r>
            <w:r w:rsidR="00685182">
              <w:rPr>
                <w:sz w:val="22"/>
                <w:szCs w:val="22"/>
              </w:rPr>
              <w:t> </w:t>
            </w:r>
            <w:r w:rsidRPr="00685182">
              <w:rPr>
                <w:sz w:val="22"/>
                <w:szCs w:val="22"/>
              </w:rPr>
              <w:t>kontrolovaného přístupu.</w:t>
            </w:r>
          </w:p>
        </w:tc>
      </w:tr>
      <w:tr w:rsidR="00B5539E" w14:paraId="292454F2" w14:textId="77777777" w:rsidTr="00685182"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39D4C" w14:textId="77777777" w:rsidR="00B5539E" w:rsidRPr="00685182" w:rsidRDefault="002331A6" w:rsidP="00685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>Moduly identity a důvěry</w:t>
            </w:r>
          </w:p>
        </w:tc>
        <w:tc>
          <w:tcPr>
            <w:tcW w:w="5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129A" w14:textId="77777777" w:rsidR="00B5539E" w:rsidRPr="00685182" w:rsidRDefault="002331A6" w:rsidP="00685182">
            <w:pPr>
              <w:spacing w:after="0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 xml:space="preserve">Spravuje služby ověřování a identit v souladu se společným evropským rámcem důvěryhodnosti datového prostoru (např. GAIA-X, </w:t>
            </w:r>
            <w:proofErr w:type="spellStart"/>
            <w:r w:rsidRPr="00685182">
              <w:rPr>
                <w:sz w:val="22"/>
                <w:szCs w:val="22"/>
              </w:rPr>
              <w:t>iSHARE</w:t>
            </w:r>
            <w:proofErr w:type="spellEnd"/>
            <w:r w:rsidRPr="00685182">
              <w:rPr>
                <w:sz w:val="22"/>
                <w:szCs w:val="22"/>
              </w:rPr>
              <w:t>, ...).</w:t>
            </w:r>
          </w:p>
        </w:tc>
      </w:tr>
      <w:tr w:rsidR="00B5539E" w14:paraId="4A85EC3D" w14:textId="77777777" w:rsidTr="00685182"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87D3" w14:textId="77777777" w:rsidR="00B5539E" w:rsidRPr="00685182" w:rsidRDefault="002331A6" w:rsidP="00685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>Registr účastníků</w:t>
            </w:r>
          </w:p>
        </w:tc>
        <w:tc>
          <w:tcPr>
            <w:tcW w:w="5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A789" w14:textId="77777777" w:rsidR="00B5539E" w:rsidRPr="00685182" w:rsidRDefault="002331A6" w:rsidP="00685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>Udržuje záznamy o registrovaných účastnících datového prostoru, včetně metadat o jejich schopnostech a oprávněních.</w:t>
            </w:r>
          </w:p>
        </w:tc>
      </w:tr>
      <w:tr w:rsidR="00B5539E" w14:paraId="2872030E" w14:textId="77777777" w:rsidTr="00685182"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4C637" w14:textId="77777777" w:rsidR="00B5539E" w:rsidRPr="00685182" w:rsidRDefault="002331A6" w:rsidP="00685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>Katalog metadat</w:t>
            </w:r>
          </w:p>
        </w:tc>
        <w:tc>
          <w:tcPr>
            <w:tcW w:w="5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4EE98" w14:textId="77777777" w:rsidR="00B5539E" w:rsidRPr="00685182" w:rsidRDefault="002331A6" w:rsidP="00685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>Usnadňuje přístup k metadatům (datovým katalogům) zveřejněným účastníky.</w:t>
            </w:r>
          </w:p>
        </w:tc>
      </w:tr>
      <w:tr w:rsidR="00B5539E" w14:paraId="0730C0C2" w14:textId="77777777" w:rsidTr="00685182"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BEEA7" w14:textId="77777777" w:rsidR="00B5539E" w:rsidRPr="00685182" w:rsidRDefault="002331A6" w:rsidP="00685182">
            <w:pPr>
              <w:spacing w:after="0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>Auditní a monitorovací komponenty (Clearing House)</w:t>
            </w:r>
          </w:p>
        </w:tc>
        <w:tc>
          <w:tcPr>
            <w:tcW w:w="5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49D8" w14:textId="77777777" w:rsidR="00B5539E" w:rsidRPr="00685182" w:rsidRDefault="002331A6" w:rsidP="00685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>Umožňuje nezávislý audit a záznam transakcí v datovém prostoru (např. protokolování datových toků, zajištění důvěryhodnosti).</w:t>
            </w:r>
          </w:p>
        </w:tc>
      </w:tr>
      <w:tr w:rsidR="00B5539E" w14:paraId="61DA0F8B" w14:textId="77777777" w:rsidTr="00685182">
        <w:trPr>
          <w:trHeight w:val="22"/>
        </w:trPr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8B6B" w14:textId="77777777" w:rsidR="00B5539E" w:rsidRPr="00685182" w:rsidRDefault="002331A6" w:rsidP="00685182">
            <w:pPr>
              <w:spacing w:after="0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>Správce zásad používání</w:t>
            </w:r>
          </w:p>
        </w:tc>
        <w:tc>
          <w:tcPr>
            <w:tcW w:w="5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89E0" w14:textId="3DBC9B2A" w:rsidR="00B5539E" w:rsidRPr="00685182" w:rsidRDefault="002331A6" w:rsidP="00685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 w:rsidRPr="00685182">
              <w:rPr>
                <w:sz w:val="22"/>
                <w:szCs w:val="22"/>
              </w:rPr>
              <w:t>Spravuje a prosazuje smluvní podmínky používání dat.</w:t>
            </w:r>
          </w:p>
        </w:tc>
      </w:tr>
    </w:tbl>
    <w:p w14:paraId="0593380B" w14:textId="77777777" w:rsidR="00B5539E" w:rsidRPr="00685182" w:rsidRDefault="00B5539E">
      <w:pPr>
        <w:rPr>
          <w:sz w:val="22"/>
          <w:szCs w:val="22"/>
        </w:rPr>
      </w:pPr>
    </w:p>
    <w:p w14:paraId="7BD9AABA" w14:textId="77777777" w:rsidR="00B5539E" w:rsidRDefault="002331A6">
      <w:pPr>
        <w:pStyle w:val="Nadpis4"/>
        <w:numPr>
          <w:ilvl w:val="0"/>
          <w:numId w:val="32"/>
        </w:numPr>
      </w:pPr>
      <w:r>
        <w:t>Integrace datových sad a napojení vybraných účastníků</w:t>
      </w:r>
    </w:p>
    <w:p w14:paraId="68778C44" w14:textId="77777777" w:rsidR="00B5539E" w:rsidRPr="00685182" w:rsidRDefault="002331A6" w:rsidP="00261AB9">
      <w:pPr>
        <w:jc w:val="both"/>
        <w:rPr>
          <w:sz w:val="22"/>
          <w:szCs w:val="22"/>
        </w:rPr>
      </w:pPr>
      <w:r w:rsidRPr="00685182">
        <w:rPr>
          <w:sz w:val="22"/>
          <w:szCs w:val="22"/>
        </w:rPr>
        <w:t>Zhotovitel provede následující úkoly:</w:t>
      </w:r>
    </w:p>
    <w:p w14:paraId="4D4CFFB8" w14:textId="77777777" w:rsidR="00B5539E" w:rsidRPr="00685182" w:rsidRDefault="002331A6">
      <w:pPr>
        <w:numPr>
          <w:ilvl w:val="0"/>
          <w:numId w:val="45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Integruje nejméně dva poskytovatele pilotních dat (např. veřejný subjekt, výzkumnou instituci).</w:t>
      </w:r>
    </w:p>
    <w:p w14:paraId="1DFB08B8" w14:textId="77777777" w:rsidR="00B5539E" w:rsidRPr="00685182" w:rsidRDefault="002331A6">
      <w:pPr>
        <w:numPr>
          <w:ilvl w:val="0"/>
          <w:numId w:val="45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Připojit jednoho až dva spotřebitele dat, kteří budou data využívat v konkrétním scénáři aplikace.</w:t>
      </w:r>
    </w:p>
    <w:p w14:paraId="428A2A46" w14:textId="7D0F80B7" w:rsidR="00B5539E" w:rsidRPr="00685182" w:rsidRDefault="002331A6">
      <w:pPr>
        <w:numPr>
          <w:ilvl w:val="0"/>
          <w:numId w:val="45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Implementovat katalog dat (např. ve formátu DCAT-AP, NGSI-LD nebo RDF/SPARQL</w:t>
      </w:r>
      <w:r w:rsidR="00685182">
        <w:rPr>
          <w:sz w:val="22"/>
          <w:szCs w:val="22"/>
        </w:rPr>
        <w:t xml:space="preserve"> </w:t>
      </w:r>
      <w:proofErr w:type="spellStart"/>
      <w:r w:rsidRPr="00685182">
        <w:rPr>
          <w:sz w:val="22"/>
          <w:szCs w:val="22"/>
        </w:rPr>
        <w:t>endpoint</w:t>
      </w:r>
      <w:proofErr w:type="spellEnd"/>
      <w:r w:rsidRPr="00685182">
        <w:rPr>
          <w:sz w:val="22"/>
          <w:szCs w:val="22"/>
        </w:rPr>
        <w:t>).</w:t>
      </w:r>
    </w:p>
    <w:p w14:paraId="49849872" w14:textId="77777777" w:rsidR="00B5539E" w:rsidRDefault="002331A6">
      <w:pPr>
        <w:pStyle w:val="Nadpis4"/>
        <w:numPr>
          <w:ilvl w:val="0"/>
          <w:numId w:val="32"/>
        </w:numPr>
      </w:pPr>
      <w:r>
        <w:t>Uvedení do pilotního provozu a podpora testování</w:t>
      </w:r>
    </w:p>
    <w:p w14:paraId="7ED91F28" w14:textId="77777777" w:rsidR="00B5539E" w:rsidRPr="00685182" w:rsidRDefault="002331A6" w:rsidP="00261AB9">
      <w:pPr>
        <w:jc w:val="both"/>
        <w:rPr>
          <w:sz w:val="22"/>
          <w:szCs w:val="22"/>
        </w:rPr>
      </w:pPr>
      <w:r w:rsidRPr="00685182">
        <w:rPr>
          <w:sz w:val="22"/>
          <w:szCs w:val="22"/>
        </w:rPr>
        <w:t>Dodavatel zajistí:</w:t>
      </w:r>
    </w:p>
    <w:p w14:paraId="6A8D4840" w14:textId="77777777" w:rsidR="00B5539E" w:rsidRPr="00685182" w:rsidRDefault="002331A6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Instalaci a konfiguraci komponent v prostředí zadavatele (cloudovém, hybridním nebo on-premise podle dohody).</w:t>
      </w:r>
    </w:p>
    <w:p w14:paraId="4919AFDE" w14:textId="77777777" w:rsidR="00B5539E" w:rsidRPr="00685182" w:rsidRDefault="002331A6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 xml:space="preserve">Testování interoperability se stávajícími evropskými službami (např. GAIA-X </w:t>
      </w:r>
      <w:proofErr w:type="spellStart"/>
      <w:r w:rsidRPr="00685182">
        <w:rPr>
          <w:sz w:val="22"/>
          <w:szCs w:val="22"/>
        </w:rPr>
        <w:t>Federation</w:t>
      </w:r>
      <w:proofErr w:type="spellEnd"/>
      <w:r w:rsidRPr="00685182">
        <w:rPr>
          <w:sz w:val="22"/>
          <w:szCs w:val="22"/>
        </w:rPr>
        <w:t xml:space="preserve"> </w:t>
      </w:r>
      <w:proofErr w:type="spellStart"/>
      <w:r w:rsidRPr="00685182">
        <w:rPr>
          <w:sz w:val="22"/>
          <w:szCs w:val="22"/>
        </w:rPr>
        <w:t>Services</w:t>
      </w:r>
      <w:proofErr w:type="spellEnd"/>
      <w:r w:rsidRPr="00685182">
        <w:rPr>
          <w:sz w:val="22"/>
          <w:szCs w:val="22"/>
        </w:rPr>
        <w:t xml:space="preserve">, DSSC </w:t>
      </w:r>
      <w:proofErr w:type="spellStart"/>
      <w:r w:rsidRPr="00685182">
        <w:rPr>
          <w:sz w:val="22"/>
          <w:szCs w:val="22"/>
        </w:rPr>
        <w:t>Sandbox</w:t>
      </w:r>
      <w:proofErr w:type="spellEnd"/>
      <w:r w:rsidRPr="00685182">
        <w:rPr>
          <w:sz w:val="22"/>
          <w:szCs w:val="22"/>
        </w:rPr>
        <w:t>).</w:t>
      </w:r>
    </w:p>
    <w:p w14:paraId="797CB1B6" w14:textId="77777777" w:rsidR="00B5539E" w:rsidRPr="00685182" w:rsidRDefault="002331A6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školení správců systému a vybraných uživatelů na obsluhu komponent, správu přístupových práv, publikaci dat a základní správu služeb,</w:t>
      </w:r>
    </w:p>
    <w:p w14:paraId="3FBA79B2" w14:textId="308AF3AA" w:rsidR="00B5539E" w:rsidRPr="00685182" w:rsidRDefault="002331A6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zajištění přenosu know-how potřebného pro samostatný provoz, administraci a</w:t>
      </w:r>
      <w:r w:rsidR="00261AB9" w:rsidRPr="00685182">
        <w:rPr>
          <w:sz w:val="22"/>
          <w:szCs w:val="22"/>
        </w:rPr>
        <w:t> </w:t>
      </w:r>
      <w:r w:rsidRPr="00685182">
        <w:rPr>
          <w:sz w:val="22"/>
          <w:szCs w:val="22"/>
        </w:rPr>
        <w:t>budoucí rozšiřování datového prostoru,</w:t>
      </w:r>
    </w:p>
    <w:p w14:paraId="6FDB6EC3" w14:textId="77777777" w:rsidR="00B5539E" w:rsidRDefault="002331A6">
      <w:pPr>
        <w:pStyle w:val="Nadpis4"/>
        <w:numPr>
          <w:ilvl w:val="0"/>
          <w:numId w:val="32"/>
        </w:numPr>
        <w:ind w:left="357"/>
        <w:rPr>
          <w:color w:val="2F5496"/>
        </w:rPr>
      </w:pPr>
      <w:bookmarkStart w:id="1" w:name="_heading=h.6x44iocl1bqj" w:colFirst="0" w:colLast="0"/>
      <w:bookmarkEnd w:id="1"/>
      <w:r>
        <w:t>Technická a metodická dokumentace</w:t>
      </w:r>
    </w:p>
    <w:p w14:paraId="50352B85" w14:textId="77777777" w:rsidR="00B5539E" w:rsidRPr="00685182" w:rsidRDefault="002331A6" w:rsidP="00261AB9">
      <w:pPr>
        <w:jc w:val="both"/>
        <w:rPr>
          <w:sz w:val="22"/>
          <w:szCs w:val="22"/>
        </w:rPr>
      </w:pPr>
      <w:r w:rsidRPr="00685182">
        <w:rPr>
          <w:sz w:val="22"/>
          <w:szCs w:val="22"/>
        </w:rPr>
        <w:t>Výstupem bude soubor dokumentů popisujících:</w:t>
      </w:r>
    </w:p>
    <w:p w14:paraId="22D370C0" w14:textId="77777777" w:rsidR="00B5539E" w:rsidRPr="00685182" w:rsidRDefault="002331A6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architekturu řešení (včetně komponent, rozhraní API a integrací)</w:t>
      </w:r>
    </w:p>
    <w:p w14:paraId="24992AA7" w14:textId="77777777" w:rsidR="00B5539E" w:rsidRPr="00685182" w:rsidRDefault="002331A6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bezpečností a provozní konfigurace</w:t>
      </w:r>
    </w:p>
    <w:p w14:paraId="23060549" w14:textId="77777777" w:rsidR="00B5539E" w:rsidRPr="00685182" w:rsidRDefault="002331A6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lastRenderedPageBreak/>
        <w:t>Uživatelské příručky pro správce i účastníky</w:t>
      </w:r>
    </w:p>
    <w:p w14:paraId="39059956" w14:textId="77777777" w:rsidR="00B5539E" w:rsidRPr="00685182" w:rsidRDefault="002331A6">
      <w:pPr>
        <w:numPr>
          <w:ilvl w:val="0"/>
          <w:numId w:val="12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Metodiku nástupu nových partnerů.</w:t>
      </w:r>
    </w:p>
    <w:p w14:paraId="26D84D96" w14:textId="77777777" w:rsidR="00B5539E" w:rsidRDefault="002331A6">
      <w:pPr>
        <w:pStyle w:val="Nadpis4"/>
        <w:numPr>
          <w:ilvl w:val="0"/>
          <w:numId w:val="32"/>
        </w:numPr>
        <w:ind w:left="357"/>
        <w:rPr>
          <w:color w:val="2F5496"/>
        </w:rPr>
      </w:pPr>
      <w:bookmarkStart w:id="2" w:name="_heading=h.ikyyoica09gj" w:colFirst="0" w:colLast="0"/>
      <w:bookmarkEnd w:id="2"/>
      <w:r>
        <w:t xml:space="preserve">Požadavky na provoz a podporu </w:t>
      </w:r>
      <w:proofErr w:type="spellStart"/>
      <w:r>
        <w:t>DSaaS</w:t>
      </w:r>
      <w:proofErr w:type="spellEnd"/>
      <w:r>
        <w:t xml:space="preserve"> (Data </w:t>
      </w:r>
      <w:proofErr w:type="spellStart"/>
      <w:r>
        <w:t>Space</w:t>
      </w:r>
      <w:proofErr w:type="spellEnd"/>
      <w:r>
        <w:t xml:space="preserve"> jako služba)</w:t>
      </w:r>
    </w:p>
    <w:p w14:paraId="5325490F" w14:textId="65DB731A" w:rsidR="00B5539E" w:rsidRPr="00685182" w:rsidRDefault="002331A6" w:rsidP="00261AB9">
      <w:pPr>
        <w:spacing w:before="240" w:after="240"/>
        <w:jc w:val="both"/>
        <w:rPr>
          <w:sz w:val="22"/>
          <w:szCs w:val="22"/>
        </w:rPr>
      </w:pPr>
      <w:r w:rsidRPr="00685182">
        <w:rPr>
          <w:sz w:val="22"/>
          <w:szCs w:val="22"/>
        </w:rPr>
        <w:t xml:space="preserve">Tato část dokumentu popisuje předběžné požadavky a očekávání na službu Data </w:t>
      </w:r>
      <w:proofErr w:type="spellStart"/>
      <w:r w:rsidRPr="00685182">
        <w:rPr>
          <w:sz w:val="22"/>
          <w:szCs w:val="22"/>
        </w:rPr>
        <w:t>Space</w:t>
      </w:r>
      <w:proofErr w:type="spellEnd"/>
      <w:r w:rsidRPr="00685182">
        <w:rPr>
          <w:sz w:val="22"/>
          <w:szCs w:val="22"/>
        </w:rPr>
        <w:t xml:space="preserve"> jako služba (</w:t>
      </w:r>
      <w:proofErr w:type="spellStart"/>
      <w:r w:rsidRPr="00685182">
        <w:rPr>
          <w:sz w:val="22"/>
          <w:szCs w:val="22"/>
        </w:rPr>
        <w:t>DSaaS</w:t>
      </w:r>
      <w:proofErr w:type="spellEnd"/>
      <w:r w:rsidRPr="00685182">
        <w:rPr>
          <w:sz w:val="22"/>
          <w:szCs w:val="22"/>
        </w:rPr>
        <w:t>). Tyto požadavky slouží jako základ pro vyjednávání a následné upřesnění zadávací dokumentace. Dodavatelé jsou vyzváni, aby tyto požadavky posoudili z hlediska proveditelnosti, úrovní služeb a navrhli případná vylepšení ve formě všeobecných obchodních podmínek.</w:t>
      </w:r>
    </w:p>
    <w:p w14:paraId="5870AEEC" w14:textId="77777777" w:rsidR="00B5539E" w:rsidRDefault="002331A6" w:rsidP="00685182">
      <w:pPr>
        <w:pStyle w:val="Nadpis5"/>
        <w:numPr>
          <w:ilvl w:val="0"/>
          <w:numId w:val="5"/>
        </w:numPr>
        <w:ind w:left="567"/>
      </w:pPr>
      <w:bookmarkStart w:id="3" w:name="_heading=h.wnmnp1df8fjm" w:colFirst="0" w:colLast="0"/>
      <w:bookmarkEnd w:id="3"/>
      <w:r>
        <w:t>Dostupnost služby (záruka provozu)</w:t>
      </w:r>
    </w:p>
    <w:p w14:paraId="75F371D7" w14:textId="1A99C20A" w:rsidR="00B5539E" w:rsidRPr="00685182" w:rsidRDefault="002331A6" w:rsidP="00261AB9">
      <w:pPr>
        <w:spacing w:before="240" w:after="240"/>
        <w:jc w:val="both"/>
        <w:rPr>
          <w:sz w:val="22"/>
          <w:szCs w:val="22"/>
        </w:rPr>
      </w:pPr>
      <w:r w:rsidRPr="00685182">
        <w:rPr>
          <w:sz w:val="22"/>
          <w:szCs w:val="22"/>
        </w:rPr>
        <w:t xml:space="preserve">Poskytovatel </w:t>
      </w:r>
      <w:proofErr w:type="spellStart"/>
      <w:r w:rsidRPr="00685182">
        <w:rPr>
          <w:sz w:val="22"/>
          <w:szCs w:val="22"/>
        </w:rPr>
        <w:t>DSaaS</w:t>
      </w:r>
      <w:proofErr w:type="spellEnd"/>
      <w:r w:rsidRPr="00685182">
        <w:rPr>
          <w:sz w:val="22"/>
          <w:szCs w:val="22"/>
        </w:rPr>
        <w:t xml:space="preserve"> musí zaručit minimální dostupnost služby 99,5 % za kalendářní měsíc, s</w:t>
      </w:r>
      <w:r w:rsidR="00261AB9" w:rsidRPr="00685182">
        <w:rPr>
          <w:sz w:val="22"/>
          <w:szCs w:val="22"/>
        </w:rPr>
        <w:t> </w:t>
      </w:r>
      <w:r w:rsidRPr="00685182">
        <w:rPr>
          <w:sz w:val="22"/>
          <w:szCs w:val="22"/>
        </w:rPr>
        <w:t>výjimkou plánovaných odstávek.</w:t>
      </w:r>
    </w:p>
    <w:p w14:paraId="17634AB5" w14:textId="77777777" w:rsidR="00B5539E" w:rsidRPr="00685182" w:rsidRDefault="002331A6">
      <w:pPr>
        <w:numPr>
          <w:ilvl w:val="0"/>
          <w:numId w:val="46"/>
        </w:numPr>
        <w:spacing w:before="240" w:after="0"/>
        <w:rPr>
          <w:sz w:val="22"/>
          <w:szCs w:val="22"/>
        </w:rPr>
      </w:pPr>
      <w:r w:rsidRPr="00685182">
        <w:rPr>
          <w:sz w:val="22"/>
          <w:szCs w:val="22"/>
        </w:rPr>
        <w:t>Plánované odstávky musí být oznámeny minimálně 5 pracovních dnů předem.</w:t>
      </w:r>
    </w:p>
    <w:p w14:paraId="5735B022" w14:textId="77777777" w:rsidR="00B5539E" w:rsidRPr="00685182" w:rsidRDefault="002331A6">
      <w:pPr>
        <w:numPr>
          <w:ilvl w:val="0"/>
          <w:numId w:val="46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Odstávky musí být plánovány mimo pracovní dobu (pondělí–pátek, 08:00–18:00 CET), pokud není dohodnuto jinak.</w:t>
      </w:r>
    </w:p>
    <w:p w14:paraId="5F79B246" w14:textId="1AFCF55E" w:rsidR="00261AB9" w:rsidRPr="00685182" w:rsidRDefault="002331A6" w:rsidP="00261AB9">
      <w:pPr>
        <w:numPr>
          <w:ilvl w:val="0"/>
          <w:numId w:val="46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V případě nedodržení dostupnosti budou uplatněny kompenzace nebo sankce podle SLA.</w:t>
      </w:r>
    </w:p>
    <w:p w14:paraId="091D46A3" w14:textId="7B84FAF1" w:rsidR="00B5539E" w:rsidRDefault="002331A6" w:rsidP="00685182">
      <w:pPr>
        <w:pStyle w:val="Nadpis5"/>
        <w:keepNext w:val="0"/>
        <w:keepLines w:val="0"/>
        <w:numPr>
          <w:ilvl w:val="0"/>
          <w:numId w:val="5"/>
        </w:numPr>
        <w:spacing w:before="200"/>
        <w:ind w:left="567"/>
      </w:pPr>
      <w:bookmarkStart w:id="4" w:name="_heading=h.mvrzw6q371lk" w:colFirst="0" w:colLast="0"/>
      <w:bookmarkEnd w:id="4"/>
      <w:r>
        <w:t>Helpdesk a technická podpora</w:t>
      </w:r>
    </w:p>
    <w:p w14:paraId="432B8FF7" w14:textId="781ADDD2" w:rsidR="00B5539E" w:rsidRPr="00685182" w:rsidRDefault="002331A6" w:rsidP="00261AB9">
      <w:pPr>
        <w:spacing w:before="240" w:after="240"/>
        <w:jc w:val="both"/>
        <w:rPr>
          <w:sz w:val="22"/>
          <w:szCs w:val="22"/>
        </w:rPr>
      </w:pPr>
      <w:r w:rsidRPr="00685182">
        <w:rPr>
          <w:sz w:val="22"/>
          <w:szCs w:val="22"/>
        </w:rPr>
        <w:t>Poskytovatel musí zajistit přístup k vícejazyčnému helpdesku (angličtina povinná) s</w:t>
      </w:r>
      <w:r w:rsidR="00261AB9" w:rsidRPr="00685182">
        <w:rPr>
          <w:sz w:val="22"/>
          <w:szCs w:val="22"/>
        </w:rPr>
        <w:t> </w:t>
      </w:r>
      <w:r w:rsidRPr="00685182">
        <w:rPr>
          <w:sz w:val="22"/>
          <w:szCs w:val="22"/>
        </w:rPr>
        <w:t>následujícími úrovněmi podpory:</w:t>
      </w:r>
    </w:p>
    <w:p w14:paraId="793ECBC5" w14:textId="5AB923E2" w:rsidR="00B5539E" w:rsidRDefault="002331A6">
      <w:pPr>
        <w:pStyle w:val="Nadpis6"/>
        <w:keepNext w:val="0"/>
        <w:keepLines w:val="0"/>
        <w:spacing w:before="360"/>
        <w:ind w:left="850" w:hanging="425"/>
      </w:pPr>
      <w:bookmarkStart w:id="5" w:name="_heading=h.3n5qzrre87cz" w:colFirst="0" w:colLast="0"/>
      <w:bookmarkEnd w:id="5"/>
      <w:r>
        <w:t>2.1</w:t>
      </w:r>
      <w:r>
        <w:tab/>
        <w:t>Řízení incidentů a problémů</w:t>
      </w:r>
    </w:p>
    <w:p w14:paraId="791C4AFC" w14:textId="77777777" w:rsidR="00B5539E" w:rsidRPr="00685182" w:rsidRDefault="002331A6" w:rsidP="00261AB9">
      <w:pPr>
        <w:spacing w:before="240" w:after="240"/>
        <w:jc w:val="both"/>
        <w:rPr>
          <w:sz w:val="22"/>
          <w:szCs w:val="22"/>
        </w:rPr>
      </w:pPr>
      <w:r w:rsidRPr="00685182">
        <w:rPr>
          <w:sz w:val="22"/>
          <w:szCs w:val="22"/>
        </w:rPr>
        <w:t>Poskytovatel musí:</w:t>
      </w:r>
    </w:p>
    <w:p w14:paraId="4D75A0A7" w14:textId="77777777" w:rsidR="00B5539E" w:rsidRPr="00685182" w:rsidRDefault="002331A6">
      <w:pPr>
        <w:numPr>
          <w:ilvl w:val="0"/>
          <w:numId w:val="25"/>
        </w:numPr>
        <w:spacing w:before="240" w:after="0"/>
        <w:rPr>
          <w:sz w:val="22"/>
          <w:szCs w:val="22"/>
        </w:rPr>
      </w:pPr>
      <w:r w:rsidRPr="00685182">
        <w:rPr>
          <w:sz w:val="22"/>
          <w:szCs w:val="22"/>
        </w:rPr>
        <w:t>Udržovat systém pro správu incidentů přístupný zadavateli.</w:t>
      </w:r>
    </w:p>
    <w:p w14:paraId="34A1114B" w14:textId="77777777" w:rsidR="00B5539E" w:rsidRPr="00685182" w:rsidRDefault="002331A6">
      <w:pPr>
        <w:numPr>
          <w:ilvl w:val="0"/>
          <w:numId w:val="25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Poskytovat pravidelné aktualizace o otevřených incidentech a závěrečnou zprávu pro každý incident úrovně P1</w:t>
      </w:r>
    </w:p>
    <w:p w14:paraId="22212FEE" w14:textId="77777777" w:rsidR="00B5539E" w:rsidRPr="00685182" w:rsidRDefault="002331A6">
      <w:pPr>
        <w:numPr>
          <w:ilvl w:val="0"/>
          <w:numId w:val="25"/>
        </w:numPr>
        <w:spacing w:after="240"/>
        <w:rPr>
          <w:sz w:val="22"/>
          <w:szCs w:val="22"/>
        </w:rPr>
      </w:pPr>
      <w:r w:rsidRPr="00685182">
        <w:rPr>
          <w:sz w:val="22"/>
          <w:szCs w:val="22"/>
        </w:rPr>
        <w:t>Zavést řízení problémů včetně analýzy příčin a opatření proti opakování.</w:t>
      </w:r>
    </w:p>
    <w:p w14:paraId="6E389473" w14:textId="77777777" w:rsidR="00B5539E" w:rsidRDefault="002331A6">
      <w:pPr>
        <w:pStyle w:val="Nadpis6"/>
        <w:keepNext w:val="0"/>
        <w:keepLines w:val="0"/>
        <w:spacing w:before="360"/>
        <w:ind w:left="850" w:hanging="425"/>
      </w:pPr>
      <w:bookmarkStart w:id="6" w:name="_heading=h.fllxcko8jh25" w:colFirst="0" w:colLast="0"/>
      <w:bookmarkEnd w:id="6"/>
      <w:r>
        <w:t>2.2</w:t>
      </w:r>
      <w:r>
        <w:tab/>
        <w:t xml:space="preserve"> Monitoring a reportování</w:t>
      </w:r>
    </w:p>
    <w:p w14:paraId="0BA3FB90" w14:textId="77777777" w:rsidR="00B5539E" w:rsidRPr="00685182" w:rsidRDefault="002331A6" w:rsidP="00261AB9">
      <w:pPr>
        <w:spacing w:before="240" w:after="240"/>
        <w:jc w:val="both"/>
        <w:rPr>
          <w:sz w:val="22"/>
          <w:szCs w:val="22"/>
        </w:rPr>
      </w:pPr>
      <w:r w:rsidRPr="00685182">
        <w:rPr>
          <w:sz w:val="22"/>
          <w:szCs w:val="22"/>
        </w:rPr>
        <w:t>Bude zajištěn monitoring klíčových služeb v reálném čase s částečným přístupem pro zadavatele (např. status dashboard).</w:t>
      </w:r>
    </w:p>
    <w:p w14:paraId="2CF6797D" w14:textId="77777777" w:rsidR="00B5539E" w:rsidRPr="00685182" w:rsidRDefault="002331A6">
      <w:pPr>
        <w:spacing w:before="240" w:after="240"/>
        <w:rPr>
          <w:sz w:val="22"/>
          <w:szCs w:val="22"/>
        </w:rPr>
      </w:pPr>
      <w:r w:rsidRPr="00685182">
        <w:rPr>
          <w:sz w:val="22"/>
          <w:szCs w:val="22"/>
        </w:rPr>
        <w:t>Reporty budou obsahovat:</w:t>
      </w:r>
    </w:p>
    <w:p w14:paraId="069F7067" w14:textId="77777777" w:rsidR="00B5539E" w:rsidRPr="00685182" w:rsidRDefault="002331A6">
      <w:pPr>
        <w:numPr>
          <w:ilvl w:val="0"/>
          <w:numId w:val="26"/>
        </w:numPr>
        <w:spacing w:before="240" w:after="0"/>
        <w:rPr>
          <w:sz w:val="22"/>
          <w:szCs w:val="22"/>
        </w:rPr>
      </w:pPr>
      <w:r w:rsidRPr="00685182">
        <w:rPr>
          <w:sz w:val="22"/>
          <w:szCs w:val="22"/>
        </w:rPr>
        <w:t>Statistiku dostupnosti</w:t>
      </w:r>
    </w:p>
    <w:p w14:paraId="2DA7D78A" w14:textId="77777777" w:rsidR="00B5539E" w:rsidRPr="00685182" w:rsidRDefault="002331A6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Statistiku reakce na incidenty</w:t>
      </w:r>
    </w:p>
    <w:p w14:paraId="1B04A4D9" w14:textId="77777777" w:rsidR="00B5539E" w:rsidRPr="00685182" w:rsidRDefault="002331A6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Statistiky podpory</w:t>
      </w:r>
    </w:p>
    <w:p w14:paraId="00A87465" w14:textId="34B272D3" w:rsidR="00685182" w:rsidRPr="008C1F33" w:rsidRDefault="002331A6" w:rsidP="008C1F33">
      <w:pPr>
        <w:numPr>
          <w:ilvl w:val="0"/>
          <w:numId w:val="26"/>
        </w:numPr>
        <w:spacing w:after="0"/>
        <w:rPr>
          <w:rFonts w:eastAsiaTheme="majorEastAsia" w:cstheme="majorBidi"/>
          <w:color w:val="2F5496" w:themeColor="accent1" w:themeShade="BF"/>
        </w:rPr>
      </w:pPr>
      <w:r w:rsidRPr="008C1F33">
        <w:rPr>
          <w:sz w:val="22"/>
          <w:szCs w:val="22"/>
        </w:rPr>
        <w:t>Plánované a neplánované odstávky</w:t>
      </w:r>
      <w:bookmarkStart w:id="7" w:name="_heading=h.9kyj8dpyk4rg" w:colFirst="0" w:colLast="0"/>
      <w:bookmarkEnd w:id="7"/>
      <w:r w:rsidR="00685182">
        <w:br w:type="page"/>
      </w:r>
    </w:p>
    <w:p w14:paraId="3271AEA5" w14:textId="072063FC" w:rsidR="00B5539E" w:rsidRDefault="002331A6" w:rsidP="008C1F33">
      <w:pPr>
        <w:pStyle w:val="Nadpis5"/>
        <w:keepNext w:val="0"/>
        <w:keepLines w:val="0"/>
        <w:numPr>
          <w:ilvl w:val="0"/>
          <w:numId w:val="5"/>
        </w:numPr>
        <w:spacing w:after="120"/>
        <w:ind w:left="567" w:hanging="357"/>
      </w:pPr>
      <w:r>
        <w:lastRenderedPageBreak/>
        <w:t>Dostupnost a integrita dat</w:t>
      </w:r>
    </w:p>
    <w:p w14:paraId="4E45C788" w14:textId="77777777" w:rsidR="00B5539E" w:rsidRPr="00685182" w:rsidRDefault="002331A6" w:rsidP="008C1F33">
      <w:pPr>
        <w:numPr>
          <w:ilvl w:val="0"/>
          <w:numId w:val="18"/>
        </w:numPr>
        <w:spacing w:after="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 xml:space="preserve">Data v rámci </w:t>
      </w:r>
      <w:proofErr w:type="spellStart"/>
      <w:r w:rsidRPr="00685182">
        <w:rPr>
          <w:sz w:val="22"/>
          <w:szCs w:val="22"/>
        </w:rPr>
        <w:t>DSaaS</w:t>
      </w:r>
      <w:proofErr w:type="spellEnd"/>
      <w:r w:rsidRPr="00685182">
        <w:rPr>
          <w:sz w:val="22"/>
          <w:szCs w:val="22"/>
        </w:rPr>
        <w:t xml:space="preserve"> musí být denně zálohována nebo replikována.</w:t>
      </w:r>
    </w:p>
    <w:p w14:paraId="66049335" w14:textId="77777777" w:rsidR="00B5539E" w:rsidRPr="00685182" w:rsidRDefault="002331A6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obnovení dat (RPO) do 24 hodin,</w:t>
      </w:r>
    </w:p>
    <w:p w14:paraId="58903A2F" w14:textId="77777777" w:rsidR="00B5539E" w:rsidRPr="00685182" w:rsidRDefault="002331A6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obnova systému (RTO) do 12 hodin.</w:t>
      </w:r>
    </w:p>
    <w:p w14:paraId="3015066D" w14:textId="77777777" w:rsidR="00B5539E" w:rsidRDefault="002331A6" w:rsidP="00685182">
      <w:pPr>
        <w:pStyle w:val="Nadpis5"/>
        <w:keepNext w:val="0"/>
        <w:keepLines w:val="0"/>
        <w:numPr>
          <w:ilvl w:val="0"/>
          <w:numId w:val="5"/>
        </w:numPr>
        <w:spacing w:before="200"/>
        <w:ind w:left="709"/>
      </w:pPr>
      <w:bookmarkStart w:id="8" w:name="_heading=h.9pn0syu7l9a5" w:colFirst="0" w:colLast="0"/>
      <w:bookmarkEnd w:id="8"/>
      <w:r>
        <w:t>Eskalační postupy</w:t>
      </w:r>
    </w:p>
    <w:p w14:paraId="31A445E9" w14:textId="77777777" w:rsidR="00B5539E" w:rsidRPr="00685182" w:rsidRDefault="002331A6" w:rsidP="008C1F33">
      <w:pPr>
        <w:spacing w:after="240"/>
        <w:jc w:val="both"/>
        <w:rPr>
          <w:sz w:val="22"/>
          <w:szCs w:val="22"/>
        </w:rPr>
      </w:pPr>
      <w:r w:rsidRPr="00685182">
        <w:rPr>
          <w:sz w:val="22"/>
          <w:szCs w:val="22"/>
        </w:rPr>
        <w:t>Poskytovatel musí definovat a udržovat eskalační schéma pro nevyřešené incidenty. Kontaktní údaje odpovědných osob musí být aktuální a dostupné po celou dobu trvání smlouvy.</w:t>
      </w:r>
    </w:p>
    <w:p w14:paraId="061ACBF9" w14:textId="77777777" w:rsidR="00B5539E" w:rsidRDefault="002331A6" w:rsidP="00685182">
      <w:pPr>
        <w:pStyle w:val="Nadpis5"/>
        <w:keepNext w:val="0"/>
        <w:keepLines w:val="0"/>
        <w:numPr>
          <w:ilvl w:val="0"/>
          <w:numId w:val="5"/>
        </w:numPr>
        <w:spacing w:before="360"/>
        <w:ind w:left="709"/>
      </w:pPr>
      <w:bookmarkStart w:id="9" w:name="_heading=h.3fal6ao2im24" w:colFirst="0" w:colLast="0"/>
      <w:bookmarkEnd w:id="9"/>
      <w:r>
        <w:t>Sankce a kompenzace</w:t>
      </w:r>
    </w:p>
    <w:p w14:paraId="4D0FB825" w14:textId="77777777" w:rsidR="00B5539E" w:rsidRPr="00685182" w:rsidRDefault="002331A6" w:rsidP="008C1F33">
      <w:pPr>
        <w:spacing w:after="240"/>
        <w:contextualSpacing/>
        <w:jc w:val="both"/>
        <w:rPr>
          <w:sz w:val="22"/>
          <w:szCs w:val="22"/>
        </w:rPr>
      </w:pPr>
      <w:r w:rsidRPr="00685182">
        <w:rPr>
          <w:sz w:val="22"/>
          <w:szCs w:val="22"/>
        </w:rPr>
        <w:t>Při nesplnění SLA budou uplatněny kompenzace nebo finanční sankce (% z měsíční platby):</w:t>
      </w:r>
    </w:p>
    <w:p w14:paraId="6F182F1E" w14:textId="77777777" w:rsidR="00B5539E" w:rsidRPr="00685182" w:rsidRDefault="002331A6">
      <w:pPr>
        <w:numPr>
          <w:ilvl w:val="0"/>
          <w:numId w:val="17"/>
        </w:numPr>
        <w:spacing w:before="240" w:after="0"/>
        <w:rPr>
          <w:sz w:val="22"/>
          <w:szCs w:val="22"/>
        </w:rPr>
      </w:pPr>
      <w:r w:rsidRPr="00685182">
        <w:rPr>
          <w:sz w:val="22"/>
          <w:szCs w:val="22"/>
        </w:rPr>
        <w:t>98–99,5 %: 5 % kompenzace</w:t>
      </w:r>
    </w:p>
    <w:p w14:paraId="0DD47D46" w14:textId="77777777" w:rsidR="00B5539E" w:rsidRPr="00685182" w:rsidRDefault="002331A6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95–98 %: 10 % kompenzace</w:t>
      </w:r>
    </w:p>
    <w:p w14:paraId="2BD6A525" w14:textId="77777777" w:rsidR="00B5539E" w:rsidRPr="00685182" w:rsidRDefault="002331A6" w:rsidP="00685182">
      <w:pPr>
        <w:numPr>
          <w:ilvl w:val="0"/>
          <w:numId w:val="17"/>
        </w:numPr>
        <w:spacing w:after="240"/>
        <w:ind w:left="714" w:hanging="357"/>
        <w:rPr>
          <w:sz w:val="22"/>
          <w:szCs w:val="22"/>
        </w:rPr>
      </w:pPr>
      <w:r w:rsidRPr="00685182">
        <w:rPr>
          <w:sz w:val="22"/>
          <w:szCs w:val="22"/>
        </w:rPr>
        <w:t>Pod 95 %: 20 % kompenzace nebo možnost vypovězení smlouvy při opakovaném porušení</w:t>
      </w:r>
    </w:p>
    <w:p w14:paraId="648A578D" w14:textId="77777777" w:rsidR="00B5539E" w:rsidRDefault="002331A6" w:rsidP="00685182">
      <w:pPr>
        <w:pStyle w:val="Nadpis5"/>
        <w:keepNext w:val="0"/>
        <w:keepLines w:val="0"/>
        <w:numPr>
          <w:ilvl w:val="0"/>
          <w:numId w:val="5"/>
        </w:numPr>
        <w:spacing w:before="0"/>
        <w:ind w:left="709"/>
      </w:pPr>
      <w:bookmarkStart w:id="10" w:name="_heading=h.12j9q1mfvgpl" w:colFirst="0" w:colLast="0"/>
      <w:bookmarkEnd w:id="10"/>
      <w:r>
        <w:t>Integrace podpory koncových uživatelů</w:t>
      </w:r>
    </w:p>
    <w:p w14:paraId="2A4DB7A2" w14:textId="77777777" w:rsidR="00B5539E" w:rsidRPr="00685182" w:rsidRDefault="002331A6" w:rsidP="008C1F33">
      <w:pPr>
        <w:spacing w:after="240"/>
        <w:jc w:val="both"/>
        <w:rPr>
          <w:sz w:val="22"/>
          <w:szCs w:val="22"/>
        </w:rPr>
      </w:pPr>
      <w:r w:rsidRPr="00685182">
        <w:rPr>
          <w:sz w:val="22"/>
          <w:szCs w:val="22"/>
        </w:rPr>
        <w:t xml:space="preserve">Pokud </w:t>
      </w:r>
      <w:proofErr w:type="spellStart"/>
      <w:r w:rsidRPr="00685182">
        <w:rPr>
          <w:sz w:val="22"/>
          <w:szCs w:val="22"/>
        </w:rPr>
        <w:t>DSaaS</w:t>
      </w:r>
      <w:proofErr w:type="spellEnd"/>
      <w:r w:rsidRPr="00685182">
        <w:rPr>
          <w:sz w:val="22"/>
          <w:szCs w:val="22"/>
        </w:rPr>
        <w:t xml:space="preserve"> zahrnuje komponenty pro koncové uživatele (např. dashboardy nebo API), musí poskytovatel nabídnout možnost jejich podpory nebo integrace systému pro koncové uživatele.</w:t>
      </w:r>
    </w:p>
    <w:p w14:paraId="028A7B8D" w14:textId="77777777" w:rsidR="00B5539E" w:rsidRPr="00685182" w:rsidRDefault="002331A6" w:rsidP="00685182">
      <w:pPr>
        <w:pStyle w:val="Nadpis5"/>
        <w:keepNext w:val="0"/>
        <w:keepLines w:val="0"/>
        <w:numPr>
          <w:ilvl w:val="0"/>
          <w:numId w:val="5"/>
        </w:numPr>
        <w:spacing w:before="360"/>
        <w:ind w:left="709"/>
      </w:pPr>
      <w:bookmarkStart w:id="11" w:name="_heading=h.r7p2wl9vtj2e" w:colFirst="0" w:colLast="0"/>
      <w:bookmarkEnd w:id="11"/>
      <w:r w:rsidRPr="00685182">
        <w:t>Řízení změn a verzování</w:t>
      </w:r>
    </w:p>
    <w:p w14:paraId="15B27E75" w14:textId="77777777" w:rsidR="00B5539E" w:rsidRPr="00685182" w:rsidRDefault="002331A6">
      <w:pPr>
        <w:numPr>
          <w:ilvl w:val="0"/>
          <w:numId w:val="42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Poskytovatel musí informovat minimálně 30 dní předem o každé významné změně nebo nové verzi.</w:t>
      </w:r>
    </w:p>
    <w:p w14:paraId="7BAA04C0" w14:textId="77777777" w:rsidR="00B5539E" w:rsidRPr="00685182" w:rsidRDefault="002331A6">
      <w:pPr>
        <w:numPr>
          <w:ilvl w:val="0"/>
          <w:numId w:val="42"/>
        </w:numPr>
        <w:spacing w:after="240"/>
        <w:rPr>
          <w:sz w:val="22"/>
          <w:szCs w:val="22"/>
        </w:rPr>
      </w:pPr>
      <w:r w:rsidRPr="00685182">
        <w:rPr>
          <w:sz w:val="22"/>
          <w:szCs w:val="22"/>
        </w:rPr>
        <w:t xml:space="preserve">Zadavatel musí mít možnost nové verze otestovat ve </w:t>
      </w:r>
      <w:proofErr w:type="spellStart"/>
      <w:r w:rsidRPr="00685182">
        <w:rPr>
          <w:sz w:val="22"/>
          <w:szCs w:val="22"/>
        </w:rPr>
        <w:t>staging</w:t>
      </w:r>
      <w:proofErr w:type="spellEnd"/>
      <w:r w:rsidRPr="00685182">
        <w:rPr>
          <w:sz w:val="22"/>
          <w:szCs w:val="22"/>
        </w:rPr>
        <w:t xml:space="preserve"> prostředí před ostrým nasazením.</w:t>
      </w:r>
    </w:p>
    <w:p w14:paraId="46AB3059" w14:textId="77777777" w:rsidR="00B5539E" w:rsidRDefault="002331A6" w:rsidP="00685182">
      <w:pPr>
        <w:pStyle w:val="Nadpis5"/>
        <w:keepNext w:val="0"/>
        <w:keepLines w:val="0"/>
        <w:numPr>
          <w:ilvl w:val="0"/>
          <w:numId w:val="5"/>
        </w:numPr>
        <w:spacing w:before="360"/>
        <w:ind w:left="709"/>
      </w:pPr>
      <w:bookmarkStart w:id="12" w:name="_heading=h.b67tswt86x8p" w:colFirst="0" w:colLast="0"/>
      <w:bookmarkEnd w:id="12"/>
      <w:r>
        <w:t>Exit strategie a přenositelnost dat</w:t>
      </w:r>
    </w:p>
    <w:p w14:paraId="306AB12E" w14:textId="77777777" w:rsidR="00B5539E" w:rsidRPr="00685182" w:rsidRDefault="002331A6">
      <w:pPr>
        <w:numPr>
          <w:ilvl w:val="0"/>
          <w:numId w:val="47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Po ukončení smlouvy musí být umožněn export dat v otevřených standardních formátech (např. CSV, JSON, RDF) a podpora migrace během 30 kalendářních dnů.</w:t>
      </w:r>
    </w:p>
    <w:p w14:paraId="081C0C4E" w14:textId="77777777" w:rsidR="00B5539E" w:rsidRPr="00685182" w:rsidRDefault="002331A6">
      <w:pPr>
        <w:numPr>
          <w:ilvl w:val="0"/>
          <w:numId w:val="47"/>
        </w:numPr>
        <w:spacing w:after="240"/>
        <w:rPr>
          <w:sz w:val="22"/>
          <w:szCs w:val="22"/>
        </w:rPr>
      </w:pPr>
      <w:r w:rsidRPr="00685182">
        <w:rPr>
          <w:sz w:val="22"/>
          <w:szCs w:val="22"/>
        </w:rPr>
        <w:t>Musí být součástí smlouvy podrobný plán ukončení poskytování služby.</w:t>
      </w:r>
    </w:p>
    <w:p w14:paraId="3710B09A" w14:textId="77777777" w:rsidR="00B5539E" w:rsidRDefault="002331A6">
      <w:pPr>
        <w:pStyle w:val="Nadpis6"/>
        <w:spacing w:before="240" w:after="240"/>
        <w:rPr>
          <w:b/>
          <w:color w:val="000000"/>
          <w:sz w:val="26"/>
          <w:szCs w:val="26"/>
        </w:rPr>
      </w:pPr>
      <w:bookmarkStart w:id="13" w:name="_heading=h.4eqb1d8gg4ny" w:colFirst="0" w:colLast="0"/>
      <w:bookmarkEnd w:id="13"/>
      <w:r>
        <w:rPr>
          <w:b/>
          <w:color w:val="000000"/>
          <w:sz w:val="26"/>
          <w:szCs w:val="26"/>
        </w:rPr>
        <w:t>Úrovně podpory Helpdesku</w:t>
      </w:r>
    </w:p>
    <w:tbl>
      <w:tblPr>
        <w:tblStyle w:val="a0"/>
        <w:tblW w:w="90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2844"/>
        <w:gridCol w:w="2253"/>
        <w:gridCol w:w="2283"/>
      </w:tblGrid>
      <w:tr w:rsidR="00B5539E" w14:paraId="6B033A8F" w14:textId="77777777" w:rsidTr="008C1F33">
        <w:trPr>
          <w:trHeight w:val="28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3DA7E" w14:textId="77777777" w:rsidR="00B5539E" w:rsidRDefault="002331A6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Úroveň podpory</w:t>
            </w:r>
          </w:p>
        </w:tc>
        <w:tc>
          <w:tcPr>
            <w:tcW w:w="2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BF62" w14:textId="77777777" w:rsidR="00B5539E" w:rsidRDefault="002331A6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Popis</w:t>
            </w:r>
          </w:p>
        </w:tc>
        <w:tc>
          <w:tcPr>
            <w:tcW w:w="2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7E180" w14:textId="77777777" w:rsidR="00B5539E" w:rsidRDefault="002331A6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Reakční doba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2CF9A" w14:textId="77777777" w:rsidR="00B5539E" w:rsidRDefault="002331A6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Doba vyřešení</w:t>
            </w:r>
          </w:p>
        </w:tc>
      </w:tr>
      <w:tr w:rsidR="00B5539E" w14:paraId="4E90645D" w14:textId="77777777" w:rsidTr="008C1F33">
        <w:trPr>
          <w:trHeight w:val="570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A6446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Kritická (P1)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5DA06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 xml:space="preserve">Výpadek celé služby, </w:t>
            </w:r>
            <w:proofErr w:type="spellStart"/>
            <w:r w:rsidRPr="00685182">
              <w:rPr>
                <w:sz w:val="22"/>
                <w:szCs w:val="22"/>
              </w:rPr>
              <w:t>DSaaS</w:t>
            </w:r>
            <w:proofErr w:type="spellEnd"/>
            <w:r w:rsidRPr="00685182">
              <w:rPr>
                <w:sz w:val="22"/>
                <w:szCs w:val="22"/>
              </w:rPr>
              <w:t xml:space="preserve"> nedostupný</w:t>
            </w:r>
          </w:p>
        </w:tc>
        <w:tc>
          <w:tcPr>
            <w:tcW w:w="2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9F71E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1 hodina</w:t>
            </w:r>
          </w:p>
        </w:tc>
        <w:tc>
          <w:tcPr>
            <w:tcW w:w="22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9F2B1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4 hodiny</w:t>
            </w:r>
          </w:p>
        </w:tc>
      </w:tr>
      <w:tr w:rsidR="00B5539E" w14:paraId="1A4B58F5" w14:textId="77777777" w:rsidTr="008C1F33">
        <w:trPr>
          <w:trHeight w:val="603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72B90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Vysoká (P2)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EFCBE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Závažné omezení funkčnosti, částečný výpadek</w:t>
            </w:r>
          </w:p>
        </w:tc>
        <w:tc>
          <w:tcPr>
            <w:tcW w:w="2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2DF29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4 hodiny</w:t>
            </w:r>
          </w:p>
        </w:tc>
        <w:tc>
          <w:tcPr>
            <w:tcW w:w="22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81571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1 pracovní den</w:t>
            </w:r>
          </w:p>
        </w:tc>
      </w:tr>
      <w:tr w:rsidR="00B5539E" w14:paraId="09A15C3B" w14:textId="77777777" w:rsidTr="008C1F33">
        <w:trPr>
          <w:trHeight w:val="570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07EBA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Střední (P3)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A899A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Nezávažný problém, existuje řešení</w:t>
            </w:r>
          </w:p>
        </w:tc>
        <w:tc>
          <w:tcPr>
            <w:tcW w:w="2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D9F3A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1 pracovní den</w:t>
            </w:r>
          </w:p>
        </w:tc>
        <w:tc>
          <w:tcPr>
            <w:tcW w:w="22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25C73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3 pracovní dny</w:t>
            </w:r>
          </w:p>
        </w:tc>
      </w:tr>
      <w:tr w:rsidR="00B5539E" w14:paraId="7B2371D5" w14:textId="77777777" w:rsidTr="008C1F33">
        <w:trPr>
          <w:trHeight w:val="570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BFC9B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Nízká (P4)</w:t>
            </w:r>
          </w:p>
        </w:tc>
        <w:tc>
          <w:tcPr>
            <w:tcW w:w="284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6907C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Drobné problémy nebo dotazy</w:t>
            </w:r>
          </w:p>
        </w:tc>
        <w:tc>
          <w:tcPr>
            <w:tcW w:w="22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1DE82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2 pracovní dny</w:t>
            </w:r>
          </w:p>
        </w:tc>
        <w:tc>
          <w:tcPr>
            <w:tcW w:w="22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1E5A2" w14:textId="77777777" w:rsidR="00B5539E" w:rsidRDefault="002331A6" w:rsidP="008C1F33">
            <w:pPr>
              <w:spacing w:after="0" w:line="276" w:lineRule="auto"/>
            </w:pPr>
            <w:r w:rsidRPr="00685182">
              <w:rPr>
                <w:sz w:val="22"/>
                <w:szCs w:val="22"/>
              </w:rPr>
              <w:t>5 pracovních dnů</w:t>
            </w:r>
          </w:p>
        </w:tc>
      </w:tr>
    </w:tbl>
    <w:p w14:paraId="1D9B5A78" w14:textId="6BEA755F" w:rsidR="008C1F33" w:rsidRDefault="002331A6" w:rsidP="008C1F33">
      <w:pPr>
        <w:spacing w:before="240" w:after="240"/>
        <w:rPr>
          <w:sz w:val="22"/>
          <w:szCs w:val="22"/>
        </w:rPr>
      </w:pPr>
      <w:r w:rsidRPr="00685182">
        <w:rPr>
          <w:sz w:val="22"/>
          <w:szCs w:val="22"/>
        </w:rPr>
        <w:t xml:space="preserve"> </w:t>
      </w:r>
      <w:r w:rsidR="008C1F33">
        <w:rPr>
          <w:sz w:val="22"/>
          <w:szCs w:val="22"/>
        </w:rPr>
        <w:br w:type="page"/>
      </w:r>
    </w:p>
    <w:p w14:paraId="4F604963" w14:textId="164CDBDD" w:rsidR="00B5539E" w:rsidRPr="008C1F33" w:rsidRDefault="002331A6" w:rsidP="008C1F33">
      <w:pPr>
        <w:pStyle w:val="Nadpis5"/>
        <w:keepNext w:val="0"/>
        <w:keepLines w:val="0"/>
        <w:numPr>
          <w:ilvl w:val="0"/>
          <w:numId w:val="5"/>
        </w:numPr>
        <w:spacing w:before="360"/>
        <w:ind w:left="709"/>
      </w:pPr>
      <w:r w:rsidRPr="008C1F33">
        <w:lastRenderedPageBreak/>
        <w:t>Technická a metodická dokumentace</w:t>
      </w:r>
    </w:p>
    <w:p w14:paraId="3BEC3F38" w14:textId="77777777" w:rsidR="00B5539E" w:rsidRPr="00685182" w:rsidRDefault="002331A6">
      <w:p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Výstupem bude soubor dokumentů popisujících:</w:t>
      </w:r>
    </w:p>
    <w:p w14:paraId="71422287" w14:textId="77777777" w:rsidR="00B5539E" w:rsidRPr="00685182" w:rsidRDefault="002331A6">
      <w:pPr>
        <w:numPr>
          <w:ilvl w:val="0"/>
          <w:numId w:val="30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Architekturu řešení (včetně komponent, API a integrací)</w:t>
      </w:r>
    </w:p>
    <w:p w14:paraId="1133976C" w14:textId="77777777" w:rsidR="00B5539E" w:rsidRPr="00685182" w:rsidRDefault="002331A6">
      <w:pPr>
        <w:numPr>
          <w:ilvl w:val="0"/>
          <w:numId w:val="30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Bezpečnostní a provozní nastavení</w:t>
      </w:r>
    </w:p>
    <w:p w14:paraId="0344BFD0" w14:textId="77777777" w:rsidR="00B5539E" w:rsidRPr="00685182" w:rsidRDefault="002331A6">
      <w:pPr>
        <w:numPr>
          <w:ilvl w:val="0"/>
          <w:numId w:val="30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Uživatelskou příručku pro správce i účastníky</w:t>
      </w:r>
    </w:p>
    <w:p w14:paraId="7F7F3D2A" w14:textId="239CF8CD" w:rsidR="00261AB9" w:rsidRPr="00685182" w:rsidRDefault="002331A6">
      <w:pPr>
        <w:numPr>
          <w:ilvl w:val="0"/>
          <w:numId w:val="30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Metodiku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onboarding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nových partnerů</w:t>
      </w:r>
    </w:p>
    <w:p w14:paraId="580189DE" w14:textId="75949688" w:rsidR="00261AB9" w:rsidRPr="00685182" w:rsidRDefault="00261AB9">
      <w:pPr>
        <w:rPr>
          <w:rFonts w:asciiTheme="minorHAnsi" w:hAnsiTheme="minorHAnsi" w:cstheme="minorHAnsi"/>
          <w:sz w:val="22"/>
          <w:szCs w:val="22"/>
        </w:rPr>
      </w:pPr>
    </w:p>
    <w:p w14:paraId="7F68B7DD" w14:textId="77777777" w:rsidR="00B5539E" w:rsidRPr="00B365B6" w:rsidRDefault="002331A6">
      <w:pPr>
        <w:pStyle w:val="Nadpis2"/>
        <w:numPr>
          <w:ilvl w:val="0"/>
          <w:numId w:val="33"/>
        </w:numPr>
        <w:ind w:left="708"/>
        <w:rPr>
          <w:rFonts w:cstheme="minorHAnsi"/>
        </w:rPr>
      </w:pPr>
      <w:r w:rsidRPr="00B365B6">
        <w:rPr>
          <w:rFonts w:cstheme="minorHAnsi"/>
        </w:rPr>
        <w:t>Funkční požadavky</w:t>
      </w:r>
    </w:p>
    <w:p w14:paraId="6F628D1F" w14:textId="3795CBB0" w:rsidR="00261AB9" w:rsidRPr="00685182" w:rsidRDefault="002331A6" w:rsidP="00261AB9">
      <w:pPr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Předmětem plnění je dodání technologického řešení, které zajistí </w:t>
      </w:r>
      <w:r w:rsidRPr="00685182">
        <w:rPr>
          <w:rFonts w:asciiTheme="minorHAnsi" w:hAnsiTheme="minorHAnsi" w:cstheme="minorHAnsi"/>
          <w:b/>
          <w:sz w:val="22"/>
          <w:szCs w:val="22"/>
        </w:rPr>
        <w:t>funkční provoz datového prostoru</w:t>
      </w:r>
      <w:r w:rsidRPr="00685182">
        <w:rPr>
          <w:rFonts w:asciiTheme="minorHAnsi" w:hAnsiTheme="minorHAnsi" w:cstheme="minorHAnsi"/>
          <w:sz w:val="22"/>
          <w:szCs w:val="22"/>
        </w:rPr>
        <w:t xml:space="preserve"> s</w:t>
      </w:r>
      <w:r w:rsidR="008C1F33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 xml:space="preserve">důrazem na </w:t>
      </w:r>
      <w:r w:rsidRPr="00685182">
        <w:rPr>
          <w:rFonts w:asciiTheme="minorHAnsi" w:hAnsiTheme="minorHAnsi" w:cstheme="minorHAnsi"/>
          <w:b/>
          <w:sz w:val="22"/>
          <w:szCs w:val="22"/>
        </w:rPr>
        <w:t>datovou suverenitu, transparentnost, interoperabilitu, škálovatelnost a bezpečnost</w:t>
      </w:r>
      <w:r w:rsidRPr="00685182">
        <w:rPr>
          <w:rFonts w:asciiTheme="minorHAnsi" w:hAnsiTheme="minorHAnsi" w:cstheme="minorHAnsi"/>
          <w:sz w:val="22"/>
          <w:szCs w:val="22"/>
        </w:rPr>
        <w:t>. V</w:t>
      </w:r>
      <w:r w:rsidR="008C1F33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>této kapitole jsou uvedeny klíčové funkční požadavky na dodané řešení.</w:t>
      </w:r>
    </w:p>
    <w:p w14:paraId="32CCD792" w14:textId="77777777" w:rsidR="00B5539E" w:rsidRPr="00B365B6" w:rsidRDefault="002331A6">
      <w:pPr>
        <w:pStyle w:val="Nadpis3"/>
        <w:numPr>
          <w:ilvl w:val="1"/>
          <w:numId w:val="36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Správa a ověřování identit účastníků</w:t>
      </w:r>
    </w:p>
    <w:p w14:paraId="7776D8DF" w14:textId="665C2E27" w:rsidR="00B5539E" w:rsidRPr="00685182" w:rsidRDefault="002331A6" w:rsidP="00261AB9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Systém musí umožňovat registraci, ověřování a správu všech účastníků datového prostoru v</w:t>
      </w:r>
      <w:r w:rsidR="00261AB9" w:rsidRPr="00685182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 xml:space="preserve">souladu se společným evropským rámcem důvěryhodnosti datového prostoru (např. GAIA-X,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iSHARE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, ...).</w:t>
      </w:r>
    </w:p>
    <w:p w14:paraId="256AE53D" w14:textId="77777777" w:rsidR="00B5539E" w:rsidRPr="00685182" w:rsidRDefault="002331A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Musí podporovat:</w:t>
      </w:r>
    </w:p>
    <w:p w14:paraId="10E92350" w14:textId="77777777" w:rsidR="00B5539E" w:rsidRPr="00685182" w:rsidRDefault="002331A6">
      <w:pPr>
        <w:numPr>
          <w:ilvl w:val="0"/>
          <w:numId w:val="1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ověřování totožnosti založené na evropské digitální identitě (EUDI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Wallet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eIDAS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2.0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ready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),</w:t>
      </w:r>
    </w:p>
    <w:p w14:paraId="5AFC78D8" w14:textId="77777777" w:rsidR="00B5539E" w:rsidRPr="00685182" w:rsidRDefault="002331A6">
      <w:pPr>
        <w:numPr>
          <w:ilvl w:val="0"/>
          <w:numId w:val="1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důvěryhodného poskytovatele identity s volitelnou integrací s národními nebo odvětvovými registry,</w:t>
      </w:r>
    </w:p>
    <w:p w14:paraId="22B4ECEF" w14:textId="77777777" w:rsidR="00B5539E" w:rsidRPr="00685182" w:rsidRDefault="002331A6">
      <w:pPr>
        <w:numPr>
          <w:ilvl w:val="0"/>
          <w:numId w:val="1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protokolování certifikátů a atributů účastníků (např. rolí, oprávnění, referencí).</w:t>
      </w:r>
    </w:p>
    <w:p w14:paraId="11F246F9" w14:textId="77777777" w:rsidR="00B5539E" w:rsidRPr="00B365B6" w:rsidRDefault="002331A6">
      <w:pPr>
        <w:pStyle w:val="Nadpis3"/>
        <w:numPr>
          <w:ilvl w:val="1"/>
          <w:numId w:val="36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Publikace a katalogizace dat</w:t>
      </w:r>
    </w:p>
    <w:p w14:paraId="16997023" w14:textId="77777777" w:rsidR="00B5539E" w:rsidRPr="00685182" w:rsidRDefault="002331A6" w:rsidP="00261AB9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Účastníci musí být schopni zveřejnit a popsat své zdroje dat prostřednictvím metadatových záznamů kompatibilních s DCAT-AP nebo podobnými otevřenými standardy.</w:t>
      </w:r>
    </w:p>
    <w:p w14:paraId="176FB29A" w14:textId="77777777" w:rsidR="00B5539E" w:rsidRPr="00685182" w:rsidRDefault="002331A6" w:rsidP="00261AB9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Metadata musí být zveřejněna prostřednictvím zprostředkovatele metadat, včetně:</w:t>
      </w:r>
    </w:p>
    <w:p w14:paraId="33238727" w14:textId="282EFF29" w:rsidR="00B5539E" w:rsidRPr="00685182" w:rsidRDefault="002331A6">
      <w:pPr>
        <w:numPr>
          <w:ilvl w:val="0"/>
          <w:numId w:val="4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technický popis dat</w:t>
      </w:r>
      <w:r w:rsidR="00166C7F" w:rsidRPr="00685182">
        <w:rPr>
          <w:rFonts w:asciiTheme="minorHAnsi" w:hAnsiTheme="minorHAnsi" w:cstheme="minorHAnsi"/>
          <w:sz w:val="22"/>
          <w:szCs w:val="22"/>
        </w:rPr>
        <w:t>,</w:t>
      </w:r>
    </w:p>
    <w:p w14:paraId="7504A866" w14:textId="77777777" w:rsidR="00B5539E" w:rsidRPr="00685182" w:rsidRDefault="002331A6">
      <w:pPr>
        <w:numPr>
          <w:ilvl w:val="0"/>
          <w:numId w:val="4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obchodní a smluvní podmínky (zásady používání),</w:t>
      </w:r>
    </w:p>
    <w:p w14:paraId="4EBD4AF6" w14:textId="77777777" w:rsidR="00B5539E" w:rsidRPr="00685182" w:rsidRDefault="002331A6">
      <w:pPr>
        <w:numPr>
          <w:ilvl w:val="0"/>
          <w:numId w:val="4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kontakt a identitu poskytovatele,</w:t>
      </w:r>
    </w:p>
    <w:p w14:paraId="4EF1AD96" w14:textId="77777777" w:rsidR="00B5539E" w:rsidRPr="00685182" w:rsidRDefault="002331A6">
      <w:pPr>
        <w:numPr>
          <w:ilvl w:val="0"/>
          <w:numId w:val="4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klasifikaci a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tagování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specifické pro danou doménu.</w:t>
      </w:r>
    </w:p>
    <w:p w14:paraId="289D34C0" w14:textId="77777777" w:rsidR="00B5539E" w:rsidRPr="00B365B6" w:rsidRDefault="002331A6">
      <w:pPr>
        <w:pStyle w:val="Nadpis3"/>
        <w:numPr>
          <w:ilvl w:val="1"/>
          <w:numId w:val="36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Vyjednávání a vymáhání podmínek použití dat</w:t>
      </w:r>
    </w:p>
    <w:p w14:paraId="31FD7AC0" w14:textId="77857048" w:rsidR="00B5539E" w:rsidRPr="00685182" w:rsidRDefault="002331A6" w:rsidP="00261AB9">
      <w:pPr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Systém musí podporovat mechanismus pro vyjednávání smluv mezi poskytovateli a</w:t>
      </w:r>
      <w:r w:rsidR="00261AB9" w:rsidRPr="00685182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>spotřebiteli údajů.</w:t>
      </w:r>
    </w:p>
    <w:p w14:paraId="645AD8C9" w14:textId="77777777" w:rsidR="00B5539E" w:rsidRPr="00685182" w:rsidRDefault="002331A6">
      <w:p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Musí podporovat:</w:t>
      </w:r>
    </w:p>
    <w:p w14:paraId="0C3B8A56" w14:textId="77777777" w:rsidR="00B5539E" w:rsidRPr="00685182" w:rsidRDefault="002331A6">
      <w:pPr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specifikaci podmínek používání dat (např. časové limity, účel, geografický rozsah),</w:t>
      </w:r>
    </w:p>
    <w:p w14:paraId="6336CD9F" w14:textId="77777777" w:rsidR="00B5539E" w:rsidRPr="00685182" w:rsidRDefault="002331A6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automatizované uzavírání smluv (nabídka a dohoda) mezi poskytovatelem a příjemcem dat</w:t>
      </w:r>
    </w:p>
    <w:p w14:paraId="487B386F" w14:textId="77777777" w:rsidR="00B5539E" w:rsidRPr="00B365B6" w:rsidRDefault="002331A6">
      <w:pPr>
        <w:pStyle w:val="Nadpis3"/>
        <w:numPr>
          <w:ilvl w:val="1"/>
          <w:numId w:val="36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Prosazování přenosu a přístupu k datům</w:t>
      </w:r>
    </w:p>
    <w:p w14:paraId="3A30D4D7" w14:textId="77777777" w:rsidR="00B5539E" w:rsidRPr="00685182" w:rsidRDefault="002331A6" w:rsidP="00261AB9">
      <w:pPr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Výměna dat musí probíhat výhradně prostřednictvím konektorů kompatibilních s protokolem datového prostoru, který zajišťuje:</w:t>
      </w:r>
    </w:p>
    <w:p w14:paraId="7E61FFC3" w14:textId="77777777" w:rsidR="00B5539E" w:rsidRPr="00685182" w:rsidRDefault="002331A6">
      <w:pPr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šifrovaný přenos dat,</w:t>
      </w:r>
    </w:p>
    <w:p w14:paraId="109DDCDF" w14:textId="77777777" w:rsidR="00B5539E" w:rsidRPr="00685182" w:rsidRDefault="002331A6">
      <w:pPr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řízení přístupu na základě dohodnutých smluv,</w:t>
      </w:r>
    </w:p>
    <w:p w14:paraId="132F0266" w14:textId="77777777" w:rsidR="00B5539E" w:rsidRPr="00685182" w:rsidRDefault="002331A6">
      <w:pPr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lastRenderedPageBreak/>
        <w:t>přenos strukturovaných i nestrukturovaných dat (např. CSV, JSON, obrázky, videa),</w:t>
      </w:r>
    </w:p>
    <w:p w14:paraId="0D7BBD0D" w14:textId="77777777" w:rsidR="00B5539E" w:rsidRPr="00685182" w:rsidRDefault="002331A6">
      <w:pPr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protokolování každé transakce pro účely auditu.</w:t>
      </w:r>
    </w:p>
    <w:p w14:paraId="5F1065D3" w14:textId="77777777" w:rsidR="00B5539E" w:rsidRPr="00B365B6" w:rsidRDefault="002331A6">
      <w:pPr>
        <w:pStyle w:val="Nadpis3"/>
        <w:numPr>
          <w:ilvl w:val="1"/>
          <w:numId w:val="36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Audity, důvěryhodnost a sledovatelnost</w:t>
      </w:r>
    </w:p>
    <w:p w14:paraId="1654CFC2" w14:textId="77777777" w:rsidR="001604BC" w:rsidRPr="00685182" w:rsidRDefault="001604BC" w:rsidP="00261AB9">
      <w:pPr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Všechny operace v datovém prostoru musí být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auditovatelné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, transparentní a dohledatelné tak, aby bylo možné prokázat dodržení smluvních podmínek a pravidel datového prostoru.</w:t>
      </w:r>
    </w:p>
    <w:p w14:paraId="4EB2F49B" w14:textId="77777777" w:rsidR="001604BC" w:rsidRPr="00685182" w:rsidRDefault="001604BC" w:rsidP="001604BC">
      <w:p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b/>
          <w:bCs/>
          <w:sz w:val="22"/>
          <w:szCs w:val="22"/>
        </w:rPr>
        <w:t>Minimální požadavky:</w:t>
      </w:r>
    </w:p>
    <w:p w14:paraId="425EC1D0" w14:textId="77777777" w:rsidR="001604BC" w:rsidRPr="00685182" w:rsidRDefault="001604BC" w:rsidP="001604BC">
      <w:pPr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b/>
          <w:bCs/>
          <w:sz w:val="22"/>
          <w:szCs w:val="22"/>
        </w:rPr>
        <w:t>Decentralizované logování (výchozí režim)</w:t>
      </w:r>
    </w:p>
    <w:p w14:paraId="483E2ACB" w14:textId="77777777" w:rsidR="001604BC" w:rsidRPr="00685182" w:rsidRDefault="001604BC" w:rsidP="001604BC">
      <w:pPr>
        <w:numPr>
          <w:ilvl w:val="1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Každý účastník datového prostoru musí prostřednictvím svého konektoru/hubu uchovávat </w:t>
      </w:r>
      <w:r w:rsidRPr="00685182">
        <w:rPr>
          <w:rFonts w:asciiTheme="minorHAnsi" w:hAnsiTheme="minorHAnsi" w:cstheme="minorHAnsi"/>
          <w:b/>
          <w:bCs/>
          <w:sz w:val="22"/>
          <w:szCs w:val="22"/>
        </w:rPr>
        <w:t>lokální auditní záznamy</w:t>
      </w:r>
      <w:r w:rsidRPr="00685182">
        <w:rPr>
          <w:rFonts w:asciiTheme="minorHAnsi" w:hAnsiTheme="minorHAnsi" w:cstheme="minorHAnsi"/>
          <w:sz w:val="22"/>
          <w:szCs w:val="22"/>
        </w:rPr>
        <w:t xml:space="preserve"> všech datových transakcí, které provádí, včetně:</w:t>
      </w:r>
    </w:p>
    <w:p w14:paraId="13FC8C9C" w14:textId="77777777" w:rsidR="001604BC" w:rsidRPr="00B365B6" w:rsidRDefault="001604BC" w:rsidP="001604BC">
      <w:pPr>
        <w:pStyle w:val="Odstavecseseznamem"/>
        <w:numPr>
          <w:ilvl w:val="2"/>
          <w:numId w:val="50"/>
        </w:numPr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identifikace poskytovatele a příjemce dat,</w:t>
      </w:r>
    </w:p>
    <w:p w14:paraId="5AAAEE7F" w14:textId="77777777" w:rsidR="001604BC" w:rsidRPr="00B365B6" w:rsidRDefault="001604BC" w:rsidP="001604BC">
      <w:pPr>
        <w:pStyle w:val="Odstavecseseznamem"/>
        <w:numPr>
          <w:ilvl w:val="2"/>
          <w:numId w:val="50"/>
        </w:numPr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časového údaje o přenosu,</w:t>
      </w:r>
    </w:p>
    <w:p w14:paraId="6A8C7652" w14:textId="77777777" w:rsidR="001604BC" w:rsidRPr="00B365B6" w:rsidRDefault="001604BC" w:rsidP="001604BC">
      <w:pPr>
        <w:pStyle w:val="Odstavecseseznamem"/>
        <w:numPr>
          <w:ilvl w:val="2"/>
          <w:numId w:val="50"/>
        </w:numPr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odkazu na použitou smlouvu/politiku,</w:t>
      </w:r>
    </w:p>
    <w:p w14:paraId="29A40F1E" w14:textId="77777777" w:rsidR="001604BC" w:rsidRPr="00B365B6" w:rsidRDefault="001604BC" w:rsidP="001604BC">
      <w:pPr>
        <w:pStyle w:val="Odstavecseseznamem"/>
        <w:numPr>
          <w:ilvl w:val="2"/>
          <w:numId w:val="50"/>
        </w:numPr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výsledku autorizace.</w:t>
      </w:r>
    </w:p>
    <w:p w14:paraId="15E4B7E2" w14:textId="4E08EF53" w:rsidR="001604BC" w:rsidRPr="00685182" w:rsidRDefault="001604BC" w:rsidP="001604BC">
      <w:pPr>
        <w:numPr>
          <w:ilvl w:val="1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Tyto záznamy musí být kryptograficky chráněny proti neoprávněné změně a</w:t>
      </w:r>
      <w:r w:rsidR="008C1F33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>uchovávány po dobu stanovenou provozními pravidly datového prostoru.</w:t>
      </w:r>
    </w:p>
    <w:p w14:paraId="026F259C" w14:textId="77777777" w:rsidR="001604BC" w:rsidRPr="00685182" w:rsidRDefault="001604BC" w:rsidP="001604BC">
      <w:pPr>
        <w:numPr>
          <w:ilvl w:val="1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Správnost transakcí musí být možné ověřit </w:t>
      </w:r>
      <w:r w:rsidRPr="00685182">
        <w:rPr>
          <w:rFonts w:asciiTheme="minorHAnsi" w:hAnsiTheme="minorHAnsi" w:cstheme="minorHAnsi"/>
          <w:b/>
          <w:bCs/>
          <w:sz w:val="22"/>
          <w:szCs w:val="22"/>
        </w:rPr>
        <w:t>párovým porovnáním</w:t>
      </w:r>
      <w:r w:rsidRPr="00685182">
        <w:rPr>
          <w:rFonts w:asciiTheme="minorHAnsi" w:hAnsiTheme="minorHAnsi" w:cstheme="minorHAnsi"/>
          <w:sz w:val="22"/>
          <w:szCs w:val="22"/>
        </w:rPr>
        <w:t xml:space="preserve"> záznamů poskytovatele a příjemce bez nutnosti využití centrálního úložiště.</w:t>
      </w:r>
    </w:p>
    <w:p w14:paraId="7D02703D" w14:textId="77777777" w:rsidR="001604BC" w:rsidRPr="00685182" w:rsidRDefault="001604BC" w:rsidP="001604BC">
      <w:pPr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b/>
          <w:bCs/>
          <w:sz w:val="22"/>
          <w:szCs w:val="22"/>
        </w:rPr>
        <w:t>Volitelná centrální agregace auditních záznamů</w:t>
      </w:r>
    </w:p>
    <w:p w14:paraId="6198D88F" w14:textId="77777777" w:rsidR="001604BC" w:rsidRPr="00685182" w:rsidRDefault="001604BC" w:rsidP="001604BC">
      <w:pPr>
        <w:numPr>
          <w:ilvl w:val="1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Řešení musí umožnit (na základě rozhodnutí a pravidel stanovených provozovatelem datového prostoru) </w:t>
      </w:r>
      <w:r w:rsidRPr="00685182">
        <w:rPr>
          <w:rFonts w:asciiTheme="minorHAnsi" w:hAnsiTheme="minorHAnsi" w:cstheme="minorHAnsi"/>
          <w:b/>
          <w:bCs/>
          <w:sz w:val="22"/>
          <w:szCs w:val="22"/>
        </w:rPr>
        <w:t>agregaci vybraných auditních záznamů</w:t>
      </w:r>
      <w:r w:rsidRPr="00685182">
        <w:rPr>
          <w:rFonts w:asciiTheme="minorHAnsi" w:hAnsiTheme="minorHAnsi" w:cstheme="minorHAnsi"/>
          <w:sz w:val="22"/>
          <w:szCs w:val="22"/>
        </w:rPr>
        <w:t xml:space="preserve"> do centrálního úložiště provozovaného </w:t>
      </w:r>
      <w:r w:rsidRPr="00685182">
        <w:rPr>
          <w:rFonts w:asciiTheme="minorHAnsi" w:hAnsiTheme="minorHAnsi" w:cstheme="minorHAnsi"/>
          <w:b/>
          <w:bCs/>
          <w:sz w:val="22"/>
          <w:szCs w:val="22"/>
        </w:rPr>
        <w:t>Královéhradeckým krajem</w:t>
      </w:r>
      <w:r w:rsidRPr="00685182">
        <w:rPr>
          <w:rFonts w:asciiTheme="minorHAnsi" w:hAnsiTheme="minorHAnsi" w:cstheme="minorHAnsi"/>
          <w:sz w:val="22"/>
          <w:szCs w:val="22"/>
        </w:rPr>
        <w:t xml:space="preserve"> jako důvěryhodnou veřejnou institucí.</w:t>
      </w:r>
    </w:p>
    <w:p w14:paraId="3FB8D538" w14:textId="03B13D0A" w:rsidR="001604BC" w:rsidRPr="00685182" w:rsidRDefault="001604BC" w:rsidP="001604BC">
      <w:pPr>
        <w:numPr>
          <w:ilvl w:val="1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Centrální agregace musí být </w:t>
      </w:r>
      <w:r w:rsidRPr="00685182">
        <w:rPr>
          <w:rFonts w:asciiTheme="minorHAnsi" w:hAnsiTheme="minorHAnsi" w:cstheme="minorHAnsi"/>
          <w:b/>
          <w:bCs/>
          <w:sz w:val="22"/>
          <w:szCs w:val="22"/>
        </w:rPr>
        <w:t>konfigurovatelná</w:t>
      </w:r>
      <w:r w:rsidRPr="00685182">
        <w:rPr>
          <w:rFonts w:asciiTheme="minorHAnsi" w:hAnsiTheme="minorHAnsi" w:cstheme="minorHAnsi"/>
          <w:sz w:val="22"/>
          <w:szCs w:val="22"/>
        </w:rPr>
        <w:t xml:space="preserve"> na úrovni jednotlivých účastníků a</w:t>
      </w:r>
      <w:r w:rsidR="008C1F33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>aktivována pouze s jejich souhlasem nebo na základě smluvních ujednání.</w:t>
      </w:r>
    </w:p>
    <w:p w14:paraId="30D89512" w14:textId="77777777" w:rsidR="001604BC" w:rsidRPr="00685182" w:rsidRDefault="001604BC" w:rsidP="001604BC">
      <w:pPr>
        <w:numPr>
          <w:ilvl w:val="1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Účelem centrální agregace může být např. provozní dohled, reporting, analýza incidentů nebo zajištění souladu s regulatorními požadavky.</w:t>
      </w:r>
    </w:p>
    <w:p w14:paraId="7FDB9134" w14:textId="77777777" w:rsidR="001604BC" w:rsidRPr="00685182" w:rsidRDefault="001604BC" w:rsidP="001604BC">
      <w:pPr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b/>
          <w:bCs/>
          <w:sz w:val="22"/>
          <w:szCs w:val="22"/>
        </w:rPr>
        <w:t>Nepřípustnost centrální kontroly třetí stranou</w:t>
      </w:r>
    </w:p>
    <w:p w14:paraId="255E648A" w14:textId="77777777" w:rsidR="001604BC" w:rsidRPr="00685182" w:rsidRDefault="001604BC" w:rsidP="001604BC">
      <w:pPr>
        <w:numPr>
          <w:ilvl w:val="1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Auditní záznamy nesmí být trvale a plošně přístupné třetí straně mimo datový prostor.</w:t>
      </w:r>
    </w:p>
    <w:p w14:paraId="3143C44C" w14:textId="77777777" w:rsidR="001604BC" w:rsidRPr="00685182" w:rsidRDefault="001604BC" w:rsidP="001604BC">
      <w:pPr>
        <w:numPr>
          <w:ilvl w:val="1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Jakékoli služby ekvivalentní funkci Clearing House musí být provozovány výhradně účastníky datového prostoru (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distribuovaně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) nebo provozovatelem datového prostoru (Královéhradecký kraj), nikoli externím komerčním subjektem bez smluvního vztahu k provozovateli.</w:t>
      </w:r>
    </w:p>
    <w:p w14:paraId="0FCE5A00" w14:textId="77777777" w:rsidR="001604BC" w:rsidRPr="00685182" w:rsidRDefault="001604BC" w:rsidP="001604BC">
      <w:pPr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b/>
          <w:bCs/>
          <w:sz w:val="22"/>
          <w:szCs w:val="22"/>
        </w:rPr>
        <w:t>Standardizace a interoperabilita</w:t>
      </w:r>
    </w:p>
    <w:p w14:paraId="7A5F62ED" w14:textId="2BCA402B" w:rsidR="001604BC" w:rsidRPr="00685182" w:rsidRDefault="001604BC" w:rsidP="00261AB9">
      <w:pPr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Auditní záznamy musí být uchovávány ve standardizovaném formátu (např. dle IDS Clearing House API, W3C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Verifiable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Credentials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nebo ekvivalentního otevřeného standardu) tak, aby byly interoperabilní s</w:t>
      </w:r>
      <w:r w:rsidR="00685182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>ostatními evropskými datovými prostory.</w:t>
      </w:r>
    </w:p>
    <w:p w14:paraId="66208DC5" w14:textId="77777777" w:rsidR="00B5539E" w:rsidRPr="00B365B6" w:rsidRDefault="002331A6">
      <w:pPr>
        <w:pStyle w:val="Nadpis3"/>
        <w:numPr>
          <w:ilvl w:val="1"/>
          <w:numId w:val="36"/>
        </w:numPr>
        <w:ind w:left="1418" w:hanging="1058"/>
        <w:rPr>
          <w:rFonts w:asciiTheme="minorHAnsi" w:hAnsiTheme="minorHAnsi" w:cstheme="minorHAnsi"/>
        </w:rPr>
      </w:pPr>
      <w:proofErr w:type="spellStart"/>
      <w:r w:rsidRPr="00B365B6">
        <w:rPr>
          <w:rFonts w:asciiTheme="minorHAnsi" w:hAnsiTheme="minorHAnsi" w:cstheme="minorHAnsi"/>
        </w:rPr>
        <w:lastRenderedPageBreak/>
        <w:t>Onboarding</w:t>
      </w:r>
      <w:proofErr w:type="spellEnd"/>
      <w:r w:rsidRPr="00B365B6">
        <w:rPr>
          <w:rFonts w:asciiTheme="minorHAnsi" w:hAnsiTheme="minorHAnsi" w:cstheme="minorHAnsi"/>
        </w:rPr>
        <w:t xml:space="preserve"> a řízení účastníků</w:t>
      </w:r>
    </w:p>
    <w:p w14:paraId="09EBA90B" w14:textId="77777777" w:rsidR="00B5539E" w:rsidRPr="00685182" w:rsidRDefault="002331A6">
      <w:p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Řešení musí správci datového prostoru umožnit:</w:t>
      </w:r>
    </w:p>
    <w:p w14:paraId="30C0C2BE" w14:textId="77777777" w:rsidR="00B5539E" w:rsidRPr="00685182" w:rsidRDefault="002331A6">
      <w:pPr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posuzovat žádosti o vstupu nových účastníků datového prostoru</w:t>
      </w:r>
    </w:p>
    <w:p w14:paraId="6DFBD241" w14:textId="77777777" w:rsidR="00B5539E" w:rsidRPr="00685182" w:rsidRDefault="002331A6">
      <w:pPr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definovat úrovně účasti (např. poskytovatel, spotřebitel, zprostředkovatel),</w:t>
      </w:r>
    </w:p>
    <w:p w14:paraId="70BE02A5" w14:textId="64024642" w:rsidR="00B5539E" w:rsidRPr="00685182" w:rsidRDefault="002331A6">
      <w:pPr>
        <w:numPr>
          <w:ilvl w:val="0"/>
          <w:numId w:val="2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ověřovat soulad s požadavky na certifikaci referenční architekturou a souborem pravidel IDSA a běžnými evropskými rámci důvěryhodnosti datového prostoru (např. GAIA-X,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iSHARE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, ...),</w:t>
      </w:r>
    </w:p>
    <w:p w14:paraId="447857AC" w14:textId="77777777" w:rsidR="00B5539E" w:rsidRPr="00685182" w:rsidRDefault="002331A6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monitorovat činnosti účastníků.</w:t>
      </w:r>
    </w:p>
    <w:p w14:paraId="57C83255" w14:textId="77777777" w:rsidR="00B5539E" w:rsidRPr="00B365B6" w:rsidRDefault="002331A6">
      <w:pPr>
        <w:pStyle w:val="Nadpis3"/>
        <w:numPr>
          <w:ilvl w:val="1"/>
          <w:numId w:val="36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Použití a správa</w:t>
      </w:r>
    </w:p>
    <w:p w14:paraId="363FC058" w14:textId="77777777" w:rsidR="00B5539E" w:rsidRPr="00685182" w:rsidRDefault="002331A6">
      <w:p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Administrativní rozhraní musí umožňovat: </w:t>
      </w:r>
    </w:p>
    <w:p w14:paraId="46C2C52A" w14:textId="77777777" w:rsidR="00B5539E" w:rsidRPr="00685182" w:rsidRDefault="002331A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správu služeb a komponent,</w:t>
      </w:r>
    </w:p>
    <w:p w14:paraId="3912A3E4" w14:textId="77777777" w:rsidR="00B5539E" w:rsidRPr="00685182" w:rsidRDefault="002331A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sledování provozu, zátěže a logování incidentů,</w:t>
      </w:r>
    </w:p>
    <w:p w14:paraId="1B262E2F" w14:textId="77777777" w:rsidR="00B5539E" w:rsidRPr="00685182" w:rsidRDefault="002331A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přístup k systémovým statistikám a výstupům z auditních záznamů</w:t>
      </w:r>
    </w:p>
    <w:p w14:paraId="22C67813" w14:textId="77777777" w:rsidR="00B5539E" w:rsidRPr="00685182" w:rsidRDefault="002331A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Pro koncové uživatele musí být k dispozici:</w:t>
      </w:r>
    </w:p>
    <w:p w14:paraId="32F930D1" w14:textId="77777777" w:rsidR="00B5539E" w:rsidRPr="00685182" w:rsidRDefault="002331A6">
      <w:pPr>
        <w:numPr>
          <w:ilvl w:val="0"/>
          <w:numId w:val="2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uživatelsky přívětivé rozhraní pro publikaci a vyhledávání dat,</w:t>
      </w:r>
    </w:p>
    <w:p w14:paraId="1CD29972" w14:textId="77777777" w:rsidR="00B5539E" w:rsidRPr="00685182" w:rsidRDefault="002331A6">
      <w:pPr>
        <w:numPr>
          <w:ilvl w:val="0"/>
          <w:numId w:val="2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možnost propojení s vlastním systémem pomocí REST API nebo jiné standardizované vrstvy.</w:t>
      </w:r>
    </w:p>
    <w:p w14:paraId="400221F4" w14:textId="77777777" w:rsidR="00261AB9" w:rsidRPr="00685182" w:rsidRDefault="00261AB9" w:rsidP="00261AB9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E3F00A5" w14:textId="77777777" w:rsidR="00B5539E" w:rsidRPr="00B365B6" w:rsidRDefault="002331A6">
      <w:pPr>
        <w:pStyle w:val="Nadpis2"/>
        <w:numPr>
          <w:ilvl w:val="0"/>
          <w:numId w:val="33"/>
        </w:numPr>
        <w:ind w:left="708"/>
        <w:rPr>
          <w:rFonts w:cstheme="minorHAnsi"/>
        </w:rPr>
      </w:pPr>
      <w:r w:rsidRPr="00B365B6">
        <w:rPr>
          <w:rFonts w:cstheme="minorHAnsi"/>
        </w:rPr>
        <w:t>Technické požadavky</w:t>
      </w:r>
    </w:p>
    <w:p w14:paraId="72087309" w14:textId="6089D68D" w:rsidR="00B5539E" w:rsidRPr="00685182" w:rsidRDefault="002331A6" w:rsidP="00261AB9">
      <w:pPr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Technologické řešení datového prostoru musí být založeno na otevřených standardech, modulární architektuře a principech důvěry, bezpečnosti a interoperability. Řešení musí být škálovatelné a</w:t>
      </w:r>
      <w:r w:rsidR="008C1F33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>přenositelné mezi cloudovými a on-premise prostředími a musí umožňovat federované propojení s</w:t>
      </w:r>
      <w:r w:rsidR="008C1F33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>jinými datovými prostory.</w:t>
      </w:r>
    </w:p>
    <w:p w14:paraId="493209D8" w14:textId="77777777" w:rsidR="00B5539E" w:rsidRPr="00B365B6" w:rsidRDefault="002331A6">
      <w:pPr>
        <w:pStyle w:val="Nadpis3"/>
        <w:numPr>
          <w:ilvl w:val="1"/>
          <w:numId w:val="37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Architektura systému</w:t>
      </w:r>
    </w:p>
    <w:p w14:paraId="1FB07AC3" w14:textId="77777777" w:rsidR="00B5539E" w:rsidRPr="00685182" w:rsidRDefault="002331A6">
      <w:p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Architektura musí vycházet z:</w:t>
      </w:r>
    </w:p>
    <w:p w14:paraId="506255C4" w14:textId="77777777" w:rsidR="00B5539E" w:rsidRPr="00685182" w:rsidRDefault="002331A6">
      <w:pPr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Modelu referenční architektury IDS (IDS-RAM v4.0 nebo vyšší),</w:t>
      </w:r>
    </w:p>
    <w:p w14:paraId="6781329E" w14:textId="77777777" w:rsidR="00B5539E" w:rsidRPr="00685182" w:rsidRDefault="002331A6">
      <w:pPr>
        <w:numPr>
          <w:ilvl w:val="0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Společný evropský rámec důvěryhodnosti datového prostoru (např. GAIA-X,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iSHARE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, ...).</w:t>
      </w:r>
    </w:p>
    <w:p w14:paraId="627FBF3F" w14:textId="77777777" w:rsidR="00B5539E" w:rsidRPr="00685182" w:rsidRDefault="002331A6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Stavebních bloků datového prostoru definovaných DSSC.</w:t>
      </w:r>
    </w:p>
    <w:p w14:paraId="59D8CAA6" w14:textId="77777777" w:rsidR="00B5539E" w:rsidRPr="00685182" w:rsidRDefault="002331A6">
      <w:p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Dodané řešení musí podporovat následující funkce:</w:t>
      </w:r>
    </w:p>
    <w:p w14:paraId="6CE31852" w14:textId="77777777" w:rsidR="00B5539E" w:rsidRPr="00685182" w:rsidRDefault="002331A6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modulární nasazení jednotlivých komponent (konektor, broker, poskytovatel identit atd.),</w:t>
      </w:r>
    </w:p>
    <w:p w14:paraId="5F28EFB5" w14:textId="77777777" w:rsidR="00B5539E" w:rsidRPr="00685182" w:rsidRDefault="002331A6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možnost federace s jinými datovými prostory,</w:t>
      </w:r>
    </w:p>
    <w:p w14:paraId="4080DE93" w14:textId="77777777" w:rsidR="00B5539E" w:rsidRPr="00685182" w:rsidRDefault="002331A6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přístup založený na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mikroslužbách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nebo kontejnerech (např.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Docker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Kubernetes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).</w:t>
      </w:r>
    </w:p>
    <w:p w14:paraId="2AE795DB" w14:textId="77777777" w:rsidR="00B5539E" w:rsidRPr="00685182" w:rsidRDefault="002331A6">
      <w:pPr>
        <w:rPr>
          <w:sz w:val="22"/>
          <w:szCs w:val="22"/>
        </w:rPr>
      </w:pPr>
      <w:r w:rsidRPr="00685182">
        <w:rPr>
          <w:sz w:val="22"/>
          <w:szCs w:val="22"/>
        </w:rPr>
        <w:t>Infrastruktura může být:</w:t>
      </w:r>
    </w:p>
    <w:p w14:paraId="116CADFB" w14:textId="77777777" w:rsidR="00B5539E" w:rsidRPr="00685182" w:rsidRDefault="002331A6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685182">
        <w:rPr>
          <w:sz w:val="22"/>
          <w:szCs w:val="22"/>
        </w:rPr>
        <w:t>nasazena v prostorách zadavatele (on-premise), nebo</w:t>
      </w:r>
    </w:p>
    <w:p w14:paraId="29FBB167" w14:textId="52E74C1A" w:rsidR="00685182" w:rsidRPr="008C1F33" w:rsidRDefault="002331A6" w:rsidP="008C1F33">
      <w:pPr>
        <w:numPr>
          <w:ilvl w:val="0"/>
          <w:numId w:val="10"/>
        </w:numPr>
        <w:rPr>
          <w:rFonts w:eastAsiaTheme="majorEastAsia" w:cstheme="majorBidi"/>
          <w:color w:val="2F5496" w:themeColor="accent1" w:themeShade="BF"/>
          <w:sz w:val="28"/>
          <w:szCs w:val="28"/>
        </w:rPr>
      </w:pPr>
      <w:r w:rsidRPr="008C1F33">
        <w:rPr>
          <w:sz w:val="22"/>
          <w:szCs w:val="22"/>
        </w:rPr>
        <w:t xml:space="preserve">provozována v evropském cloudovém prostředí (např. </w:t>
      </w:r>
      <w:proofErr w:type="spellStart"/>
      <w:r w:rsidRPr="008C1F33">
        <w:rPr>
          <w:sz w:val="22"/>
          <w:szCs w:val="22"/>
        </w:rPr>
        <w:t>Hetzner</w:t>
      </w:r>
      <w:proofErr w:type="spellEnd"/>
      <w:r w:rsidRPr="008C1F33">
        <w:rPr>
          <w:sz w:val="22"/>
          <w:szCs w:val="22"/>
        </w:rPr>
        <w:t xml:space="preserve">, </w:t>
      </w:r>
      <w:proofErr w:type="spellStart"/>
      <w:r w:rsidRPr="008C1F33">
        <w:rPr>
          <w:sz w:val="22"/>
          <w:szCs w:val="22"/>
        </w:rPr>
        <w:t>OVHcloud</w:t>
      </w:r>
      <w:proofErr w:type="spellEnd"/>
      <w:r w:rsidRPr="008C1F33">
        <w:rPr>
          <w:sz w:val="22"/>
          <w:szCs w:val="22"/>
        </w:rPr>
        <w:t>, IONOS, Azure) s</w:t>
      </w:r>
      <w:r w:rsidR="008C1F33" w:rsidRPr="008C1F33">
        <w:rPr>
          <w:sz w:val="22"/>
          <w:szCs w:val="22"/>
        </w:rPr>
        <w:t> </w:t>
      </w:r>
      <w:r w:rsidRPr="008C1F33">
        <w:rPr>
          <w:sz w:val="22"/>
          <w:szCs w:val="22"/>
        </w:rPr>
        <w:t>důrazem na datovou suverenitu a soulad s GDPR.</w:t>
      </w:r>
      <w:r w:rsidR="00685182">
        <w:br w:type="page"/>
      </w:r>
    </w:p>
    <w:p w14:paraId="71966759" w14:textId="1D9CF8A6" w:rsidR="00B5539E" w:rsidRDefault="002331A6">
      <w:pPr>
        <w:pStyle w:val="Nadpis3"/>
        <w:numPr>
          <w:ilvl w:val="1"/>
          <w:numId w:val="37"/>
        </w:numPr>
        <w:ind w:left="1418" w:hanging="1058"/>
      </w:pPr>
      <w:r>
        <w:lastRenderedPageBreak/>
        <w:t>Použité standardy a protokoly</w:t>
      </w:r>
    </w:p>
    <w:p w14:paraId="3207B745" w14:textId="77777777" w:rsidR="00B5539E" w:rsidRPr="00685182" w:rsidRDefault="002331A6">
      <w:pPr>
        <w:rPr>
          <w:sz w:val="22"/>
          <w:szCs w:val="22"/>
        </w:rPr>
      </w:pPr>
      <w:r w:rsidRPr="00685182">
        <w:rPr>
          <w:sz w:val="22"/>
          <w:szCs w:val="22"/>
        </w:rPr>
        <w:t>V případě relevance se doporučuje implementace nebo integrace následujících standardů: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2"/>
      </w:tblGrid>
      <w:tr w:rsidR="00B5539E" w14:paraId="6827F36D" w14:textId="77777777" w:rsidTr="00123DB5">
        <w:trPr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A84E" w14:textId="6CCAADEF" w:rsidR="00B5539E" w:rsidRDefault="00123DB5" w:rsidP="00123DB5">
            <w:pPr>
              <w:spacing w:before="120" w:after="120"/>
              <w:ind w:left="127"/>
              <w:jc w:val="center"/>
              <w:rPr>
                <w:b/>
                <w:i/>
              </w:rPr>
            </w:pPr>
            <w:r w:rsidRPr="00685182">
              <w:rPr>
                <w:b/>
                <w:i/>
                <w:sz w:val="22"/>
                <w:szCs w:val="22"/>
              </w:rPr>
              <w:t>Prvek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B29" w14:textId="1D2496AF" w:rsidR="00B5539E" w:rsidRDefault="002331A6" w:rsidP="00123DB5">
            <w:pPr>
              <w:spacing w:before="120" w:after="120"/>
              <w:ind w:left="127"/>
              <w:jc w:val="center"/>
              <w:rPr>
                <w:b/>
                <w:i/>
              </w:rPr>
            </w:pPr>
            <w:r w:rsidRPr="00685182">
              <w:rPr>
                <w:b/>
                <w:i/>
                <w:sz w:val="22"/>
                <w:szCs w:val="22"/>
              </w:rPr>
              <w:t xml:space="preserve">Standardy a </w:t>
            </w:r>
            <w:r w:rsidR="00123DB5" w:rsidRPr="00685182">
              <w:rPr>
                <w:b/>
                <w:i/>
                <w:sz w:val="22"/>
                <w:szCs w:val="22"/>
              </w:rPr>
              <w:t>t</w:t>
            </w:r>
            <w:r w:rsidRPr="00685182">
              <w:rPr>
                <w:b/>
                <w:i/>
                <w:sz w:val="22"/>
                <w:szCs w:val="22"/>
              </w:rPr>
              <w:t>echnologie</w:t>
            </w:r>
          </w:p>
        </w:tc>
      </w:tr>
      <w:tr w:rsidR="00B5539E" w14:paraId="4D4B8FAF" w14:textId="77777777" w:rsidTr="00123DB5"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5FB28D23" w14:textId="77777777" w:rsidR="00B5539E" w:rsidRDefault="002331A6" w:rsidP="00123DB5">
            <w:pPr>
              <w:spacing w:before="120" w:after="120"/>
              <w:ind w:left="127"/>
              <w:rPr>
                <w:b/>
                <w:i/>
              </w:rPr>
            </w:pPr>
            <w:r w:rsidRPr="00685182">
              <w:rPr>
                <w:b/>
                <w:i/>
                <w:sz w:val="22"/>
                <w:szCs w:val="22"/>
              </w:rPr>
              <w:t>Identita a důvěryhodnost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14:paraId="5FDD712C" w14:textId="77777777" w:rsidR="00B5539E" w:rsidRDefault="002331A6" w:rsidP="00123DB5">
            <w:pPr>
              <w:spacing w:before="120" w:after="120"/>
              <w:ind w:left="127"/>
              <w:rPr>
                <w:i/>
              </w:rPr>
            </w:pPr>
            <w:proofErr w:type="spellStart"/>
            <w:r w:rsidRPr="00685182">
              <w:rPr>
                <w:i/>
                <w:sz w:val="22"/>
                <w:szCs w:val="22"/>
              </w:rPr>
              <w:t>eIDAS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2.0, W3C </w:t>
            </w:r>
            <w:proofErr w:type="spellStart"/>
            <w:r w:rsidRPr="00685182">
              <w:rPr>
                <w:i/>
                <w:sz w:val="22"/>
                <w:szCs w:val="22"/>
              </w:rPr>
              <w:t>Verifiable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Credentials</w:t>
            </w:r>
            <w:proofErr w:type="spellEnd"/>
            <w:r w:rsidRPr="00685182">
              <w:rPr>
                <w:i/>
                <w:sz w:val="22"/>
                <w:szCs w:val="22"/>
              </w:rPr>
              <w:t>, DID (</w:t>
            </w:r>
            <w:proofErr w:type="spellStart"/>
            <w:r w:rsidRPr="00685182">
              <w:rPr>
                <w:i/>
                <w:sz w:val="22"/>
                <w:szCs w:val="22"/>
              </w:rPr>
              <w:t>Decentralized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Identifiers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), GAIA-X </w:t>
            </w:r>
            <w:proofErr w:type="spellStart"/>
            <w:r w:rsidRPr="00685182">
              <w:rPr>
                <w:i/>
                <w:sz w:val="22"/>
                <w:szCs w:val="22"/>
              </w:rPr>
              <w:t>Compliance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Services</w:t>
            </w:r>
            <w:proofErr w:type="spellEnd"/>
          </w:p>
        </w:tc>
      </w:tr>
      <w:tr w:rsidR="00B5539E" w14:paraId="25B70B58" w14:textId="77777777" w:rsidTr="00123DB5">
        <w:tc>
          <w:tcPr>
            <w:tcW w:w="2830" w:type="dxa"/>
            <w:vAlign w:val="center"/>
          </w:tcPr>
          <w:p w14:paraId="66D3F939" w14:textId="77777777" w:rsidR="00B5539E" w:rsidRDefault="002331A6" w:rsidP="00123DB5">
            <w:pPr>
              <w:spacing w:before="120" w:after="120"/>
              <w:ind w:left="127"/>
              <w:rPr>
                <w:i/>
              </w:rPr>
            </w:pPr>
            <w:r w:rsidRPr="00685182">
              <w:rPr>
                <w:b/>
                <w:i/>
                <w:sz w:val="22"/>
                <w:szCs w:val="22"/>
              </w:rPr>
              <w:t>Autentizace a autorizace</w:t>
            </w:r>
          </w:p>
        </w:tc>
        <w:tc>
          <w:tcPr>
            <w:tcW w:w="6232" w:type="dxa"/>
            <w:vAlign w:val="center"/>
          </w:tcPr>
          <w:p w14:paraId="6D0CF8F0" w14:textId="77777777" w:rsidR="00B5539E" w:rsidRDefault="002331A6" w:rsidP="00123DB5">
            <w:pPr>
              <w:spacing w:before="120" w:after="120"/>
              <w:ind w:left="127"/>
              <w:rPr>
                <w:i/>
              </w:rPr>
            </w:pPr>
            <w:r w:rsidRPr="00685182">
              <w:rPr>
                <w:i/>
                <w:sz w:val="22"/>
                <w:szCs w:val="22"/>
              </w:rPr>
              <w:t xml:space="preserve">OAuth2, </w:t>
            </w:r>
            <w:proofErr w:type="spellStart"/>
            <w:r w:rsidRPr="00685182">
              <w:rPr>
                <w:i/>
                <w:sz w:val="22"/>
                <w:szCs w:val="22"/>
              </w:rPr>
              <w:t>OpenID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Connect</w:t>
            </w:r>
            <w:proofErr w:type="spellEnd"/>
            <w:r w:rsidRPr="00685182">
              <w:rPr>
                <w:i/>
                <w:sz w:val="22"/>
                <w:szCs w:val="22"/>
              </w:rPr>
              <w:t>, XACML/ALFA (</w:t>
            </w:r>
            <w:proofErr w:type="spellStart"/>
            <w:r w:rsidRPr="00685182">
              <w:rPr>
                <w:i/>
                <w:sz w:val="22"/>
                <w:szCs w:val="22"/>
              </w:rPr>
              <w:t>for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policies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), </w:t>
            </w:r>
            <w:proofErr w:type="spellStart"/>
            <w:r w:rsidRPr="00685182">
              <w:rPr>
                <w:i/>
                <w:sz w:val="22"/>
                <w:szCs w:val="22"/>
              </w:rPr>
              <w:t>Attribute-based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Access </w:t>
            </w:r>
            <w:proofErr w:type="spellStart"/>
            <w:r w:rsidRPr="00685182">
              <w:rPr>
                <w:i/>
                <w:sz w:val="22"/>
                <w:szCs w:val="22"/>
              </w:rPr>
              <w:t>Control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(ABAC)</w:t>
            </w:r>
          </w:p>
        </w:tc>
      </w:tr>
      <w:tr w:rsidR="00B5539E" w14:paraId="3260277F" w14:textId="77777777" w:rsidTr="00123DB5">
        <w:tc>
          <w:tcPr>
            <w:tcW w:w="2830" w:type="dxa"/>
            <w:vAlign w:val="center"/>
          </w:tcPr>
          <w:p w14:paraId="7A3B080E" w14:textId="77777777" w:rsidR="00B5539E" w:rsidRDefault="002331A6" w:rsidP="00123DB5">
            <w:pPr>
              <w:spacing w:before="120" w:after="120"/>
              <w:ind w:left="127"/>
              <w:rPr>
                <w:i/>
              </w:rPr>
            </w:pPr>
            <w:r w:rsidRPr="00685182">
              <w:rPr>
                <w:b/>
                <w:i/>
                <w:sz w:val="22"/>
                <w:szCs w:val="22"/>
              </w:rPr>
              <w:t>Metadata a katalogizace</w:t>
            </w:r>
          </w:p>
        </w:tc>
        <w:tc>
          <w:tcPr>
            <w:tcW w:w="6232" w:type="dxa"/>
            <w:vAlign w:val="center"/>
          </w:tcPr>
          <w:p w14:paraId="45B1002A" w14:textId="77777777" w:rsidR="00B5539E" w:rsidRDefault="002331A6" w:rsidP="00123DB5">
            <w:pPr>
              <w:spacing w:before="120" w:after="120"/>
              <w:ind w:left="127"/>
              <w:rPr>
                <w:i/>
              </w:rPr>
            </w:pPr>
            <w:r w:rsidRPr="00685182">
              <w:rPr>
                <w:i/>
                <w:sz w:val="22"/>
                <w:szCs w:val="22"/>
              </w:rPr>
              <w:t>DCAT-AP, NGSI-LD, SHACL, RDF, SPARQL</w:t>
            </w:r>
          </w:p>
        </w:tc>
      </w:tr>
      <w:tr w:rsidR="00B5539E" w14:paraId="182E8394" w14:textId="77777777" w:rsidTr="00123DB5">
        <w:tc>
          <w:tcPr>
            <w:tcW w:w="2830" w:type="dxa"/>
            <w:vAlign w:val="center"/>
          </w:tcPr>
          <w:p w14:paraId="2DD7FD9E" w14:textId="77777777" w:rsidR="00B5539E" w:rsidRDefault="002331A6" w:rsidP="00123DB5">
            <w:pPr>
              <w:spacing w:before="120" w:after="120"/>
              <w:ind w:left="127"/>
              <w:rPr>
                <w:i/>
              </w:rPr>
            </w:pPr>
            <w:r w:rsidRPr="00685182">
              <w:rPr>
                <w:b/>
                <w:i/>
                <w:sz w:val="22"/>
                <w:szCs w:val="22"/>
              </w:rPr>
              <w:t>Správa smluv</w:t>
            </w:r>
          </w:p>
        </w:tc>
        <w:tc>
          <w:tcPr>
            <w:tcW w:w="6232" w:type="dxa"/>
            <w:vAlign w:val="center"/>
          </w:tcPr>
          <w:p w14:paraId="52295F01" w14:textId="77777777" w:rsidR="00B5539E" w:rsidRDefault="002331A6" w:rsidP="00123DB5">
            <w:pPr>
              <w:spacing w:before="120" w:after="120"/>
              <w:ind w:left="127"/>
              <w:rPr>
                <w:i/>
              </w:rPr>
            </w:pPr>
            <w:r w:rsidRPr="00685182">
              <w:rPr>
                <w:i/>
                <w:sz w:val="22"/>
                <w:szCs w:val="22"/>
              </w:rPr>
              <w:t xml:space="preserve">IDS </w:t>
            </w:r>
            <w:proofErr w:type="spellStart"/>
            <w:r w:rsidRPr="00685182">
              <w:rPr>
                <w:i/>
                <w:sz w:val="22"/>
                <w:szCs w:val="22"/>
              </w:rPr>
              <w:t>Usage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Control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Language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(LUCON / ODRL), </w:t>
            </w:r>
            <w:proofErr w:type="spellStart"/>
            <w:r w:rsidRPr="00685182">
              <w:rPr>
                <w:i/>
                <w:sz w:val="22"/>
                <w:szCs w:val="22"/>
              </w:rPr>
              <w:t>Contract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Negotiation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Protocol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685182">
              <w:rPr>
                <w:i/>
                <w:sz w:val="22"/>
                <w:szCs w:val="22"/>
              </w:rPr>
              <w:t>e.g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., EDC </w:t>
            </w:r>
            <w:proofErr w:type="spellStart"/>
            <w:r w:rsidRPr="00685182">
              <w:rPr>
                <w:i/>
                <w:sz w:val="22"/>
                <w:szCs w:val="22"/>
              </w:rPr>
              <w:t>or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Sovity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IDS)</w:t>
            </w:r>
          </w:p>
        </w:tc>
      </w:tr>
      <w:tr w:rsidR="00B5539E" w14:paraId="49EFFCA1" w14:textId="77777777" w:rsidTr="00123DB5">
        <w:tc>
          <w:tcPr>
            <w:tcW w:w="2830" w:type="dxa"/>
            <w:vAlign w:val="center"/>
          </w:tcPr>
          <w:p w14:paraId="4B7A92EA" w14:textId="77777777" w:rsidR="00B5539E" w:rsidRDefault="002331A6" w:rsidP="00123DB5">
            <w:pPr>
              <w:spacing w:before="120" w:after="120"/>
              <w:ind w:left="127"/>
              <w:rPr>
                <w:b/>
                <w:i/>
              </w:rPr>
            </w:pPr>
            <w:r w:rsidRPr="00685182">
              <w:rPr>
                <w:b/>
                <w:i/>
                <w:sz w:val="22"/>
                <w:szCs w:val="22"/>
              </w:rPr>
              <w:t>Protokoly pro přenos dat</w:t>
            </w:r>
          </w:p>
        </w:tc>
        <w:tc>
          <w:tcPr>
            <w:tcW w:w="6232" w:type="dxa"/>
            <w:vAlign w:val="center"/>
          </w:tcPr>
          <w:p w14:paraId="38630628" w14:textId="77777777" w:rsidR="00B5539E" w:rsidRDefault="002331A6" w:rsidP="00123DB5">
            <w:pPr>
              <w:spacing w:before="120" w:after="120"/>
              <w:ind w:left="127"/>
              <w:rPr>
                <w:i/>
              </w:rPr>
            </w:pPr>
            <w:r w:rsidRPr="00685182">
              <w:rPr>
                <w:i/>
                <w:sz w:val="22"/>
                <w:szCs w:val="22"/>
              </w:rPr>
              <w:t xml:space="preserve">HTTPS/TLS, IDS </w:t>
            </w:r>
            <w:proofErr w:type="spellStart"/>
            <w:r w:rsidRPr="00685182">
              <w:rPr>
                <w:i/>
                <w:sz w:val="22"/>
                <w:szCs w:val="22"/>
              </w:rPr>
              <w:t>Message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Protocol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, IDS </w:t>
            </w:r>
            <w:proofErr w:type="spellStart"/>
            <w:r w:rsidRPr="00685182">
              <w:rPr>
                <w:i/>
                <w:sz w:val="22"/>
                <w:szCs w:val="22"/>
              </w:rPr>
              <w:t>Multipart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Protocol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685182">
              <w:rPr>
                <w:i/>
                <w:sz w:val="22"/>
                <w:szCs w:val="22"/>
              </w:rPr>
              <w:t>RESTful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API, </w:t>
            </w:r>
            <w:proofErr w:type="spellStart"/>
            <w:r w:rsidRPr="00685182">
              <w:rPr>
                <w:i/>
                <w:sz w:val="22"/>
                <w:szCs w:val="22"/>
              </w:rPr>
              <w:t>GraphQL</w:t>
            </w:r>
            <w:proofErr w:type="spellEnd"/>
          </w:p>
        </w:tc>
      </w:tr>
      <w:tr w:rsidR="00B5539E" w14:paraId="5463D918" w14:textId="77777777" w:rsidTr="00123DB5">
        <w:tc>
          <w:tcPr>
            <w:tcW w:w="2830" w:type="dxa"/>
            <w:vAlign w:val="center"/>
          </w:tcPr>
          <w:p w14:paraId="16BB8D00" w14:textId="01BA4F73" w:rsidR="00B5539E" w:rsidRDefault="002331A6" w:rsidP="00123DB5">
            <w:pPr>
              <w:spacing w:before="120" w:after="120"/>
              <w:ind w:left="127"/>
              <w:rPr>
                <w:i/>
              </w:rPr>
            </w:pPr>
            <w:r w:rsidRPr="00685182">
              <w:rPr>
                <w:b/>
                <w:i/>
                <w:sz w:val="22"/>
                <w:szCs w:val="22"/>
              </w:rPr>
              <w:t xml:space="preserve">Interoperabilita </w:t>
            </w:r>
            <w:r w:rsidR="00123DB5" w:rsidRPr="00685182">
              <w:rPr>
                <w:b/>
                <w:i/>
                <w:sz w:val="22"/>
                <w:szCs w:val="22"/>
              </w:rPr>
              <w:br/>
            </w:r>
            <w:r w:rsidRPr="00685182">
              <w:rPr>
                <w:b/>
                <w:i/>
                <w:sz w:val="22"/>
                <w:szCs w:val="22"/>
              </w:rPr>
              <w:t>a výměna dat</w:t>
            </w:r>
          </w:p>
        </w:tc>
        <w:tc>
          <w:tcPr>
            <w:tcW w:w="6232" w:type="dxa"/>
            <w:vAlign w:val="center"/>
          </w:tcPr>
          <w:p w14:paraId="341CEAAE" w14:textId="1C59314E" w:rsidR="00B5539E" w:rsidRDefault="002331A6" w:rsidP="00123DB5">
            <w:pPr>
              <w:spacing w:before="120" w:after="120"/>
              <w:ind w:left="127"/>
              <w:rPr>
                <w:i/>
              </w:rPr>
            </w:pPr>
            <w:r w:rsidRPr="00685182">
              <w:rPr>
                <w:i/>
                <w:sz w:val="22"/>
                <w:szCs w:val="22"/>
              </w:rPr>
              <w:t xml:space="preserve">JSON-LD, XML, CSV, </w:t>
            </w:r>
            <w:proofErr w:type="spellStart"/>
            <w:r w:rsidRPr="00685182">
              <w:rPr>
                <w:i/>
                <w:sz w:val="22"/>
                <w:szCs w:val="22"/>
              </w:rPr>
              <w:t>Parquet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685182">
              <w:rPr>
                <w:i/>
                <w:sz w:val="22"/>
                <w:szCs w:val="22"/>
              </w:rPr>
              <w:t>GeoJSON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685182">
              <w:rPr>
                <w:i/>
                <w:sz w:val="22"/>
                <w:szCs w:val="22"/>
              </w:rPr>
              <w:t>NetCDF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685182">
              <w:rPr>
                <w:i/>
                <w:sz w:val="22"/>
                <w:szCs w:val="22"/>
              </w:rPr>
              <w:t>etc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., </w:t>
            </w:r>
            <w:proofErr w:type="spellStart"/>
            <w:r w:rsidRPr="00685182">
              <w:rPr>
                <w:i/>
                <w:sz w:val="22"/>
                <w:szCs w:val="22"/>
              </w:rPr>
              <w:t>depending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on </w:t>
            </w:r>
            <w:proofErr w:type="spellStart"/>
            <w:r w:rsidRPr="00685182">
              <w:rPr>
                <w:i/>
                <w:sz w:val="22"/>
                <w:szCs w:val="22"/>
              </w:rPr>
              <w:t>the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application</w:t>
            </w:r>
            <w:proofErr w:type="spellEnd"/>
            <w:r w:rsidRPr="0068518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i/>
                <w:sz w:val="22"/>
                <w:szCs w:val="22"/>
              </w:rPr>
              <w:t>domain</w:t>
            </w:r>
            <w:proofErr w:type="spellEnd"/>
          </w:p>
        </w:tc>
      </w:tr>
    </w:tbl>
    <w:p w14:paraId="158C5D4A" w14:textId="77777777" w:rsidR="00B5539E" w:rsidRPr="00685182" w:rsidRDefault="00B5539E">
      <w:pPr>
        <w:rPr>
          <w:sz w:val="22"/>
          <w:szCs w:val="22"/>
        </w:rPr>
      </w:pPr>
    </w:p>
    <w:p w14:paraId="44E3A51E" w14:textId="77777777" w:rsidR="00B5539E" w:rsidRPr="00B365B6" w:rsidRDefault="002331A6">
      <w:pPr>
        <w:pStyle w:val="Nadpis3"/>
        <w:numPr>
          <w:ilvl w:val="1"/>
          <w:numId w:val="37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Kybernetická a provozní bezpečnost</w:t>
      </w:r>
    </w:p>
    <w:p w14:paraId="6C424371" w14:textId="77777777" w:rsidR="00B5539E" w:rsidRPr="00685182" w:rsidRDefault="002331A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Řešení musí splňovat následující požadavky:</w:t>
      </w:r>
    </w:p>
    <w:p w14:paraId="45223432" w14:textId="77777777" w:rsidR="00B5539E" w:rsidRPr="00685182" w:rsidRDefault="002331A6">
      <w:pPr>
        <w:numPr>
          <w:ilvl w:val="0"/>
          <w:numId w:val="6"/>
        </w:numPr>
        <w:spacing w:before="120"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Směrnice NIS2 (2022/2555),</w:t>
      </w:r>
    </w:p>
    <w:p w14:paraId="4C393C9A" w14:textId="77777777" w:rsidR="00B5539E" w:rsidRPr="00685182" w:rsidRDefault="002331A6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Doporučení ENISA pro datové prostory,</w:t>
      </w:r>
    </w:p>
    <w:p w14:paraId="4AD6C300" w14:textId="77777777" w:rsidR="00B5539E" w:rsidRPr="00685182" w:rsidRDefault="002331A6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Zásady architektury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Zero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Trust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Architecture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.</w:t>
      </w:r>
    </w:p>
    <w:p w14:paraId="2C03B5C9" w14:textId="77777777" w:rsidR="00B5539E" w:rsidRPr="00685182" w:rsidRDefault="002331A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Požadavky zahrnují: </w:t>
      </w:r>
    </w:p>
    <w:p w14:paraId="2561B13E" w14:textId="77777777" w:rsidR="00B5539E" w:rsidRPr="00685182" w:rsidRDefault="002331A6">
      <w:pPr>
        <w:numPr>
          <w:ilvl w:val="0"/>
          <w:numId w:val="19"/>
        </w:numPr>
        <w:spacing w:before="120"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b/>
          <w:sz w:val="22"/>
          <w:szCs w:val="22"/>
        </w:rPr>
        <w:t>end-to-end šifrování dat</w:t>
      </w:r>
    </w:p>
    <w:p w14:paraId="2FD96D78" w14:textId="77777777" w:rsidR="00B5539E" w:rsidRPr="00685182" w:rsidRDefault="002331A6">
      <w:pPr>
        <w:numPr>
          <w:ilvl w:val="0"/>
          <w:numId w:val="1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auditní logy všech přístupů a operací,</w:t>
      </w:r>
    </w:p>
    <w:p w14:paraId="4349552F" w14:textId="77777777" w:rsidR="00B5539E" w:rsidRPr="00685182" w:rsidRDefault="002331A6">
      <w:pPr>
        <w:numPr>
          <w:ilvl w:val="0"/>
          <w:numId w:val="1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možnost integrace s nástroji SIEM (např.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Wazuh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, ELK,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Splunk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),</w:t>
      </w:r>
    </w:p>
    <w:p w14:paraId="6F55B594" w14:textId="77777777" w:rsidR="00B5539E" w:rsidRPr="00685182" w:rsidRDefault="002331A6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685182">
        <w:rPr>
          <w:rFonts w:asciiTheme="minorHAnsi" w:hAnsiTheme="minorHAnsi" w:cstheme="minorHAnsi"/>
          <w:sz w:val="22"/>
          <w:szCs w:val="22"/>
        </w:rPr>
        <w:t>dvoufaktorová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autentizace a řízení přístupů </w:t>
      </w:r>
    </w:p>
    <w:p w14:paraId="4623CFDF" w14:textId="77777777" w:rsidR="00B5539E" w:rsidRPr="00685182" w:rsidRDefault="002331A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Všechny komponenty musí být pravidelně aktualizovány a monitorovány. Dodavatel musí předložit plán reakce na incidenty a zálohování dat.</w:t>
      </w:r>
    </w:p>
    <w:p w14:paraId="66EA876F" w14:textId="77777777" w:rsidR="00B5539E" w:rsidRPr="00B365B6" w:rsidRDefault="002331A6">
      <w:pPr>
        <w:pStyle w:val="Nadpis3"/>
        <w:numPr>
          <w:ilvl w:val="1"/>
          <w:numId w:val="37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Provozní požadavky a škálovatelnost</w:t>
      </w:r>
    </w:p>
    <w:p w14:paraId="4E5A9CF8" w14:textId="6F06C43E" w:rsidR="00B5539E" w:rsidRPr="00685182" w:rsidRDefault="002331A6">
      <w:pPr>
        <w:numPr>
          <w:ilvl w:val="0"/>
          <w:numId w:val="14"/>
        </w:numPr>
        <w:spacing w:before="80"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Dodané řešení musí podporovat minimálně 10 účastníků a zpracovávat datové toky o</w:t>
      </w:r>
      <w:r w:rsidR="00B365B6" w:rsidRPr="00685182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>velikosti až několik set GB/měsíc (škálovatelné podle potřeby).</w:t>
      </w:r>
    </w:p>
    <w:p w14:paraId="0544A24D" w14:textId="77777777" w:rsidR="00B5539E" w:rsidRPr="00685182" w:rsidRDefault="002331A6">
      <w:pPr>
        <w:numPr>
          <w:ilvl w:val="0"/>
          <w:numId w:val="1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Komponenty musí být možné monitorovat prostřednictvím administrátorského rozhraní (např. Prometheus +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Grafana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Zabbix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Kibana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).</w:t>
      </w:r>
    </w:p>
    <w:p w14:paraId="35130D09" w14:textId="77777777" w:rsidR="00B5539E" w:rsidRPr="00685182" w:rsidRDefault="002331A6">
      <w:pPr>
        <w:numPr>
          <w:ilvl w:val="0"/>
          <w:numId w:val="1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Řešení musí podporovat provozní SLA s dostupností alespoň 99,5 % při standardním zatížení.</w:t>
      </w:r>
    </w:p>
    <w:p w14:paraId="36E7DA6D" w14:textId="77777777" w:rsidR="00B5539E" w:rsidRPr="00B365B6" w:rsidRDefault="002331A6">
      <w:pPr>
        <w:pStyle w:val="Nadpis3"/>
        <w:numPr>
          <w:ilvl w:val="1"/>
          <w:numId w:val="37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lastRenderedPageBreak/>
        <w:t>Dokumentace a rozhraní</w:t>
      </w:r>
    </w:p>
    <w:p w14:paraId="77B35E5D" w14:textId="77777777" w:rsidR="00B5539E" w:rsidRPr="00685182" w:rsidRDefault="002331A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Zhotovitel musí poskytnout:</w:t>
      </w:r>
    </w:p>
    <w:p w14:paraId="3737FCAA" w14:textId="77777777" w:rsidR="00B5539E" w:rsidRPr="00685182" w:rsidRDefault="002331A6">
      <w:pPr>
        <w:numPr>
          <w:ilvl w:val="0"/>
          <w:numId w:val="16"/>
        </w:numPr>
        <w:spacing w:before="120"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Dokumentaci ke všem komponentám (uživatelské, technické a API),</w:t>
      </w:r>
    </w:p>
    <w:p w14:paraId="79E4C85E" w14:textId="77777777" w:rsidR="00B5539E" w:rsidRPr="00685182" w:rsidRDefault="002331A6">
      <w:pPr>
        <w:numPr>
          <w:ilvl w:val="0"/>
          <w:numId w:val="1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specifikaci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OpenAPI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Swagger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pro všechna veřejná rozhraní API,</w:t>
      </w:r>
    </w:p>
    <w:p w14:paraId="58E7AA58" w14:textId="77777777" w:rsidR="00B5539E" w:rsidRPr="00685182" w:rsidRDefault="002331A6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ukázková data a testovací scénáře.</w:t>
      </w:r>
    </w:p>
    <w:p w14:paraId="4A7ED6E6" w14:textId="77777777" w:rsidR="00B5539E" w:rsidRPr="00685182" w:rsidRDefault="002331A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Všechny komponenty musí být provozuschopné buď jako varianty s otevřeným zdrojovým kódem, nebo musí být založeny na technologiích dostupných v Evropě. Přednost budou mít řešení založená na:</w:t>
      </w:r>
    </w:p>
    <w:p w14:paraId="7F0702BA" w14:textId="77777777" w:rsidR="00B5539E" w:rsidRPr="00685182" w:rsidRDefault="002331A6">
      <w:pPr>
        <w:numPr>
          <w:ilvl w:val="0"/>
          <w:numId w:val="44"/>
        </w:numPr>
        <w:spacing w:before="120"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685182">
        <w:rPr>
          <w:rFonts w:asciiTheme="minorHAnsi" w:hAnsiTheme="minorHAnsi" w:cstheme="minorHAnsi"/>
          <w:sz w:val="22"/>
          <w:szCs w:val="22"/>
        </w:rPr>
        <w:t>Eclipse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Dataspace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Components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(EDC),</w:t>
      </w:r>
    </w:p>
    <w:p w14:paraId="719C4CBA" w14:textId="533C6DFC" w:rsidR="00B5539E" w:rsidRPr="008C1F33" w:rsidRDefault="002331A6" w:rsidP="008C1F33">
      <w:pPr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členové IDSA.</w:t>
      </w:r>
    </w:p>
    <w:p w14:paraId="5181BFAF" w14:textId="77777777" w:rsidR="00B5539E" w:rsidRPr="00B365B6" w:rsidRDefault="002331A6">
      <w:pPr>
        <w:pStyle w:val="Nadpis2"/>
        <w:numPr>
          <w:ilvl w:val="0"/>
          <w:numId w:val="33"/>
        </w:numPr>
        <w:rPr>
          <w:rFonts w:cstheme="minorHAnsi"/>
        </w:rPr>
      </w:pPr>
      <w:r w:rsidRPr="00B365B6">
        <w:rPr>
          <w:rFonts w:cstheme="minorHAnsi"/>
        </w:rPr>
        <w:t>Požadavky na interoperabilitu</w:t>
      </w:r>
    </w:p>
    <w:p w14:paraId="79A38685" w14:textId="01B87CEB" w:rsidR="00B5539E" w:rsidRPr="00685182" w:rsidRDefault="002331A6" w:rsidP="00261AB9">
      <w:pPr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Cílem řešení je zajistit plnou interoperabilitu dodaného datového prostoru s dalšími národními a</w:t>
      </w:r>
      <w:r w:rsidR="00685182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>evropskými datovými prostory a ekosystémy. Interoperabilita je klíčovou podmínkou pro rozšiřitelnost, federaci a připojování různorodých datových zdrojů a spotřebitelů v souladu s</w:t>
      </w:r>
      <w:r w:rsidR="00261AB9" w:rsidRPr="00685182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 xml:space="preserve">principy </w:t>
      </w:r>
      <w:r w:rsidRPr="00685182">
        <w:rPr>
          <w:rFonts w:asciiTheme="minorHAnsi" w:hAnsiTheme="minorHAnsi" w:cstheme="minorHAnsi"/>
          <w:b/>
          <w:sz w:val="22"/>
          <w:szCs w:val="22"/>
        </w:rPr>
        <w:t>Evropského prostoru pro data (</w:t>
      </w:r>
      <w:proofErr w:type="spellStart"/>
      <w:r w:rsidRPr="00685182">
        <w:rPr>
          <w:rFonts w:asciiTheme="minorHAnsi" w:hAnsiTheme="minorHAnsi" w:cstheme="minorHAnsi"/>
          <w:b/>
          <w:sz w:val="22"/>
          <w:szCs w:val="22"/>
        </w:rPr>
        <w:t>Common</w:t>
      </w:r>
      <w:proofErr w:type="spellEnd"/>
      <w:r w:rsidRPr="0068518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85182">
        <w:rPr>
          <w:rFonts w:asciiTheme="minorHAnsi" w:hAnsiTheme="minorHAnsi" w:cstheme="minorHAnsi"/>
          <w:b/>
          <w:sz w:val="22"/>
          <w:szCs w:val="22"/>
        </w:rPr>
        <w:t>European</w:t>
      </w:r>
      <w:proofErr w:type="spellEnd"/>
      <w:r w:rsidRPr="00685182">
        <w:rPr>
          <w:rFonts w:asciiTheme="minorHAnsi" w:hAnsiTheme="minorHAnsi" w:cstheme="minorHAnsi"/>
          <w:b/>
          <w:sz w:val="22"/>
          <w:szCs w:val="22"/>
        </w:rPr>
        <w:t xml:space="preserve"> Data </w:t>
      </w:r>
      <w:proofErr w:type="spellStart"/>
      <w:r w:rsidRPr="00685182">
        <w:rPr>
          <w:rFonts w:asciiTheme="minorHAnsi" w:hAnsiTheme="minorHAnsi" w:cstheme="minorHAnsi"/>
          <w:b/>
          <w:sz w:val="22"/>
          <w:szCs w:val="22"/>
        </w:rPr>
        <w:t>Spaces</w:t>
      </w:r>
      <w:proofErr w:type="spellEnd"/>
      <w:r w:rsidRPr="00685182">
        <w:rPr>
          <w:rFonts w:asciiTheme="minorHAnsi" w:hAnsiTheme="minorHAnsi" w:cstheme="minorHAnsi"/>
          <w:b/>
          <w:sz w:val="22"/>
          <w:szCs w:val="22"/>
        </w:rPr>
        <w:t>)</w:t>
      </w:r>
      <w:r w:rsidRPr="006851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6C9661" w14:textId="77777777" w:rsidR="00B5539E" w:rsidRPr="00B365B6" w:rsidRDefault="002331A6">
      <w:pPr>
        <w:pStyle w:val="Nadpis3"/>
        <w:numPr>
          <w:ilvl w:val="1"/>
          <w:numId w:val="38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Technická interoperabilita</w:t>
      </w:r>
    </w:p>
    <w:p w14:paraId="0DD1B6AC" w14:textId="77777777" w:rsidR="00B5539E" w:rsidRPr="00685182" w:rsidRDefault="002331A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Je požadováno:</w:t>
      </w:r>
    </w:p>
    <w:p w14:paraId="41599723" w14:textId="77777777" w:rsidR="00B5539E" w:rsidRPr="00685182" w:rsidRDefault="002331A6">
      <w:pPr>
        <w:numPr>
          <w:ilvl w:val="0"/>
          <w:numId w:val="9"/>
        </w:numPr>
        <w:spacing w:before="120"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Použití</w:t>
      </w:r>
      <w:r w:rsidRPr="00685182">
        <w:rPr>
          <w:rFonts w:asciiTheme="minorHAnsi" w:hAnsiTheme="minorHAnsi" w:cstheme="minorHAnsi"/>
          <w:b/>
          <w:sz w:val="22"/>
          <w:szCs w:val="22"/>
        </w:rPr>
        <w:t xml:space="preserve"> otevřených a standardizovaných rozhraní API</w:t>
      </w:r>
      <w:r w:rsidRPr="00685182">
        <w:rPr>
          <w:rFonts w:asciiTheme="minorHAnsi" w:hAnsiTheme="minorHAnsi" w:cstheme="minorHAnsi"/>
          <w:sz w:val="22"/>
          <w:szCs w:val="22"/>
        </w:rPr>
        <w:t xml:space="preserve">. Všechny komponenty datového prostoru musí komunikovat pomocí otevřených rozhraní (např. REST,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GraphQL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, IDS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Multipart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Protocol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).</w:t>
      </w:r>
    </w:p>
    <w:p w14:paraId="2507EB77" w14:textId="4D589E80" w:rsidR="00B5539E" w:rsidRPr="00685182" w:rsidRDefault="002331A6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b/>
          <w:sz w:val="22"/>
          <w:szCs w:val="22"/>
        </w:rPr>
        <w:t>Podpora konektorů EDC/IDS</w:t>
      </w:r>
      <w:r w:rsidRPr="00685182">
        <w:rPr>
          <w:rFonts w:asciiTheme="minorHAnsi" w:hAnsiTheme="minorHAnsi" w:cstheme="minorHAnsi"/>
          <w:sz w:val="22"/>
          <w:szCs w:val="22"/>
        </w:rPr>
        <w:t>: Řešení musí být schopno spolupracovat s</w:t>
      </w:r>
      <w:r w:rsidR="00B365B6" w:rsidRPr="00685182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 xml:space="preserve">komponentami založenými na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Eclipse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Dataspace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Components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(EDC), i když jsou implementovány různými dodavateli (členy IDSA).</w:t>
      </w:r>
    </w:p>
    <w:p w14:paraId="3BE0EE3A" w14:textId="77777777" w:rsidR="00B5539E" w:rsidRPr="00B365B6" w:rsidRDefault="002331A6">
      <w:pPr>
        <w:pStyle w:val="Nadpis3"/>
        <w:numPr>
          <w:ilvl w:val="1"/>
          <w:numId w:val="38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Sémantická interoperabilita</w:t>
      </w:r>
    </w:p>
    <w:p w14:paraId="3F1FF12D" w14:textId="77777777" w:rsidR="00B5539E" w:rsidRPr="00685182" w:rsidRDefault="002331A6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685182">
        <w:rPr>
          <w:rFonts w:asciiTheme="minorHAnsi" w:hAnsiTheme="minorHAnsi" w:cstheme="minorHAnsi"/>
          <w:b/>
          <w:sz w:val="22"/>
          <w:szCs w:val="22"/>
        </w:rPr>
        <w:t>Podpora standardizovaných datových modelů:</w:t>
      </w:r>
    </w:p>
    <w:p w14:paraId="4774177A" w14:textId="77777777" w:rsidR="00B5539E" w:rsidRPr="00685182" w:rsidRDefault="002331A6">
      <w:pPr>
        <w:numPr>
          <w:ilvl w:val="0"/>
          <w:numId w:val="20"/>
        </w:numPr>
        <w:spacing w:before="240"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DCAT-AP (pro publikaci metadat ve veřejné správě),</w:t>
      </w:r>
    </w:p>
    <w:p w14:paraId="4BB56BC7" w14:textId="77777777" w:rsidR="00B5539E" w:rsidRPr="00685182" w:rsidRDefault="002331A6">
      <w:pPr>
        <w:numPr>
          <w:ilvl w:val="0"/>
          <w:numId w:val="2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NGSI-LD (pro datové entity v reálném čase, např. v Smart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Cities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),</w:t>
      </w:r>
    </w:p>
    <w:p w14:paraId="09F47D93" w14:textId="77777777" w:rsidR="00B5539E" w:rsidRPr="00685182" w:rsidRDefault="002331A6">
      <w:pPr>
        <w:numPr>
          <w:ilvl w:val="0"/>
          <w:numId w:val="2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INSPIRE /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GeoJSON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(pro geoprostorová data),</w:t>
      </w:r>
    </w:p>
    <w:p w14:paraId="0382206F" w14:textId="77777777" w:rsidR="00B5539E" w:rsidRPr="00685182" w:rsidRDefault="002331A6">
      <w:pPr>
        <w:numPr>
          <w:ilvl w:val="0"/>
          <w:numId w:val="2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Další doménově specifické ontologie a schémata (např. SAREF pro energetiku, HL7/FHIR pro zdravotnictví).</w:t>
      </w:r>
    </w:p>
    <w:p w14:paraId="3223065C" w14:textId="77777777" w:rsidR="00B5539E" w:rsidRPr="00685182" w:rsidRDefault="002331A6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685182">
        <w:rPr>
          <w:rFonts w:asciiTheme="minorHAnsi" w:hAnsiTheme="minorHAnsi" w:cstheme="minorHAnsi"/>
          <w:b/>
          <w:sz w:val="22"/>
          <w:szCs w:val="22"/>
        </w:rPr>
        <w:t>Validace a transformace dat:</w:t>
      </w:r>
    </w:p>
    <w:p w14:paraId="15C3B356" w14:textId="32F923DC" w:rsidR="00685182" w:rsidRPr="00685182" w:rsidRDefault="002331A6" w:rsidP="00685182">
      <w:pPr>
        <w:numPr>
          <w:ilvl w:val="0"/>
          <w:numId w:val="15"/>
        </w:numPr>
        <w:spacing w:before="240" w:after="0"/>
        <w:rPr>
          <w:rFonts w:asciiTheme="minorHAnsi" w:eastAsiaTheme="majorEastAsia" w:hAnsiTheme="minorHAnsi" w:cstheme="minorHAnsi"/>
          <w:color w:val="2F5496" w:themeColor="accent1" w:themeShade="BF"/>
          <w:sz w:val="28"/>
          <w:szCs w:val="28"/>
        </w:rPr>
      </w:pPr>
      <w:r w:rsidRPr="00685182">
        <w:rPr>
          <w:rFonts w:asciiTheme="minorHAnsi" w:hAnsiTheme="minorHAnsi" w:cstheme="minorHAnsi"/>
          <w:sz w:val="22"/>
          <w:szCs w:val="22"/>
        </w:rPr>
        <w:t>Systém musí podporovat transformaci mezi různými datovými schématy a formáty (např. XML ↔ JSON-LD, RDF ↔ CSV) a umožňovat anotaci dat pomocí ontologií (např. OWL, SHACL).</w:t>
      </w:r>
      <w:r w:rsidR="00685182" w:rsidRPr="00685182">
        <w:rPr>
          <w:rFonts w:asciiTheme="minorHAnsi" w:hAnsiTheme="minorHAnsi" w:cstheme="minorHAnsi"/>
        </w:rPr>
        <w:br w:type="page"/>
      </w:r>
    </w:p>
    <w:p w14:paraId="1A7C4DAC" w14:textId="7EA83344" w:rsidR="00B5539E" w:rsidRPr="00B365B6" w:rsidRDefault="002331A6">
      <w:pPr>
        <w:pStyle w:val="Nadpis3"/>
        <w:numPr>
          <w:ilvl w:val="1"/>
          <w:numId w:val="38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lastRenderedPageBreak/>
        <w:t>Organizační interoperabilita</w:t>
      </w:r>
    </w:p>
    <w:p w14:paraId="2DBC6D6B" w14:textId="77777777" w:rsidR="00B5539E" w:rsidRPr="00685182" w:rsidRDefault="002331A6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685182">
        <w:rPr>
          <w:rFonts w:asciiTheme="minorHAnsi" w:hAnsiTheme="minorHAnsi" w:cstheme="minorHAnsi"/>
          <w:b/>
          <w:sz w:val="22"/>
          <w:szCs w:val="22"/>
        </w:rPr>
        <w:t>Sdílení zásad a podmínek:</w:t>
      </w:r>
    </w:p>
    <w:p w14:paraId="30BE629C" w14:textId="77777777" w:rsidR="00B5539E" w:rsidRPr="00685182" w:rsidRDefault="002331A6">
      <w:pPr>
        <w:numPr>
          <w:ilvl w:val="0"/>
          <w:numId w:val="11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Dodávané řešení musí umožňovat vyjádření a sdílení smluvních podmínek a zásad (zásad používání dat) ve strojově čitelném formátu (např. ODRL, LUCON).</w:t>
      </w:r>
    </w:p>
    <w:p w14:paraId="12D9D21E" w14:textId="77777777" w:rsidR="00B5539E" w:rsidRPr="00685182" w:rsidRDefault="002331A6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685182">
        <w:rPr>
          <w:rFonts w:asciiTheme="minorHAnsi" w:hAnsiTheme="minorHAnsi" w:cstheme="minorHAnsi"/>
          <w:b/>
          <w:sz w:val="22"/>
          <w:szCs w:val="22"/>
        </w:rPr>
        <w:t>Výměna identit a mechanismů důvěry:</w:t>
      </w:r>
    </w:p>
    <w:p w14:paraId="495E7B66" w14:textId="77777777" w:rsidR="00B5539E" w:rsidRPr="00685182" w:rsidRDefault="002331A6">
      <w:pPr>
        <w:numPr>
          <w:ilvl w:val="0"/>
          <w:numId w:val="23"/>
        </w:numPr>
        <w:spacing w:before="240"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Mechanismy identity a certifikace musí být uznávány a kompatibilní se společným evropským rámcem důvěryhodnosti datového prostoru (např. GAIA-X,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iSHARE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, ...).</w:t>
      </w:r>
    </w:p>
    <w:p w14:paraId="48B0E23A" w14:textId="77777777" w:rsidR="00B5539E" w:rsidRPr="00685182" w:rsidRDefault="002331A6">
      <w:pPr>
        <w:numPr>
          <w:ilvl w:val="0"/>
          <w:numId w:val="2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Účastníci musí být schopni používat atributy a certifikáty vydané jinými důvěryhodnými orgány.</w:t>
      </w:r>
    </w:p>
    <w:p w14:paraId="44E3B3AC" w14:textId="77777777" w:rsidR="00B5539E" w:rsidRPr="00B365B6" w:rsidRDefault="002331A6">
      <w:pPr>
        <w:pStyle w:val="Nadpis3"/>
        <w:numPr>
          <w:ilvl w:val="1"/>
          <w:numId w:val="38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Přenositelnost a otevřenost dat</w:t>
      </w:r>
    </w:p>
    <w:p w14:paraId="6E7096D6" w14:textId="77777777" w:rsidR="00B5539E" w:rsidRPr="00685182" w:rsidRDefault="002331A6">
      <w:pPr>
        <w:rPr>
          <w:rFonts w:asciiTheme="minorHAnsi" w:hAnsiTheme="minorHAnsi" w:cstheme="minorHAnsi"/>
          <w:b/>
          <w:sz w:val="22"/>
          <w:szCs w:val="22"/>
        </w:rPr>
      </w:pPr>
      <w:r w:rsidRPr="00685182">
        <w:rPr>
          <w:rFonts w:asciiTheme="minorHAnsi" w:hAnsiTheme="minorHAnsi" w:cstheme="minorHAnsi"/>
          <w:b/>
          <w:sz w:val="22"/>
          <w:szCs w:val="22"/>
        </w:rPr>
        <w:t>Export a opakované použití dat:</w:t>
      </w:r>
    </w:p>
    <w:p w14:paraId="70578946" w14:textId="77777777" w:rsidR="00B5539E" w:rsidRPr="00685182" w:rsidRDefault="002331A6">
      <w:pPr>
        <w:numPr>
          <w:ilvl w:val="0"/>
          <w:numId w:val="4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Všechna zveřejněná data musí být přístupná prostřednictvím standardních exportních formátů (např. CSV, JSON, XML, RDF).</w:t>
      </w:r>
    </w:p>
    <w:p w14:paraId="693A343E" w14:textId="77777777" w:rsidR="00B5539E" w:rsidRPr="00685182" w:rsidRDefault="002331A6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Uživatelé musí mít možnost přistupovat ke katalogu dat pomocí standardizovaných dotazovacích rozhraní (např. koncový bod SPARQL).</w:t>
      </w:r>
    </w:p>
    <w:p w14:paraId="78F32B6D" w14:textId="77777777" w:rsidR="00B5539E" w:rsidRPr="00685182" w:rsidRDefault="002331A6">
      <w:pPr>
        <w:rPr>
          <w:rFonts w:asciiTheme="minorHAnsi" w:hAnsiTheme="minorHAnsi" w:cstheme="minorHAnsi"/>
          <w:b/>
          <w:sz w:val="22"/>
          <w:szCs w:val="22"/>
        </w:rPr>
      </w:pPr>
      <w:r w:rsidRPr="00685182">
        <w:rPr>
          <w:rFonts w:asciiTheme="minorHAnsi" w:hAnsiTheme="minorHAnsi" w:cstheme="minorHAnsi"/>
          <w:b/>
          <w:sz w:val="22"/>
          <w:szCs w:val="22"/>
        </w:rPr>
        <w:t>Podpora principů FAIR (</w:t>
      </w:r>
      <w:proofErr w:type="spellStart"/>
      <w:r w:rsidRPr="00685182">
        <w:rPr>
          <w:rFonts w:asciiTheme="minorHAnsi" w:hAnsiTheme="minorHAnsi" w:cstheme="minorHAnsi"/>
          <w:b/>
          <w:sz w:val="22"/>
          <w:szCs w:val="22"/>
        </w:rPr>
        <w:t>Findable</w:t>
      </w:r>
      <w:proofErr w:type="spellEnd"/>
      <w:r w:rsidRPr="0068518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685182">
        <w:rPr>
          <w:rFonts w:asciiTheme="minorHAnsi" w:hAnsiTheme="minorHAnsi" w:cstheme="minorHAnsi"/>
          <w:b/>
          <w:sz w:val="22"/>
          <w:szCs w:val="22"/>
        </w:rPr>
        <w:t>Accessible</w:t>
      </w:r>
      <w:proofErr w:type="spellEnd"/>
      <w:r w:rsidRPr="0068518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685182">
        <w:rPr>
          <w:rFonts w:asciiTheme="minorHAnsi" w:hAnsiTheme="minorHAnsi" w:cstheme="minorHAnsi"/>
          <w:b/>
          <w:sz w:val="22"/>
          <w:szCs w:val="22"/>
        </w:rPr>
        <w:t>Interoperable</w:t>
      </w:r>
      <w:proofErr w:type="spellEnd"/>
      <w:r w:rsidRPr="0068518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685182">
        <w:rPr>
          <w:rFonts w:asciiTheme="minorHAnsi" w:hAnsiTheme="minorHAnsi" w:cstheme="minorHAnsi"/>
          <w:b/>
          <w:sz w:val="22"/>
          <w:szCs w:val="22"/>
        </w:rPr>
        <w:t>Reusable</w:t>
      </w:r>
      <w:proofErr w:type="spellEnd"/>
      <w:r w:rsidRPr="00685182">
        <w:rPr>
          <w:rFonts w:asciiTheme="minorHAnsi" w:hAnsiTheme="minorHAnsi" w:cstheme="minorHAnsi"/>
          <w:b/>
          <w:sz w:val="22"/>
          <w:szCs w:val="22"/>
        </w:rPr>
        <w:t>):</w:t>
      </w:r>
    </w:p>
    <w:p w14:paraId="23D5ECEF" w14:textId="4B6BB915" w:rsidR="00B5539E" w:rsidRPr="00685182" w:rsidRDefault="002331A6">
      <w:pPr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Metadata a data musí být navržena v souladu s principy FAIR, aby se usnadnilo sdílení a</w:t>
      </w:r>
      <w:r w:rsidR="00685182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>opakované použití v jiných kontextech.</w:t>
      </w:r>
    </w:p>
    <w:p w14:paraId="60EF5BDF" w14:textId="77777777" w:rsidR="00B5539E" w:rsidRPr="00B365B6" w:rsidRDefault="002331A6">
      <w:pPr>
        <w:pStyle w:val="Nadpis3"/>
        <w:numPr>
          <w:ilvl w:val="1"/>
          <w:numId w:val="38"/>
        </w:numPr>
        <w:ind w:left="1418" w:hanging="1058"/>
        <w:rPr>
          <w:rFonts w:asciiTheme="minorHAnsi" w:hAnsiTheme="minorHAnsi" w:cstheme="minorHAnsi"/>
        </w:rPr>
      </w:pPr>
      <w:r w:rsidRPr="00B365B6">
        <w:rPr>
          <w:rFonts w:asciiTheme="minorHAnsi" w:hAnsiTheme="minorHAnsi" w:cstheme="minorHAnsi"/>
        </w:rPr>
        <w:t>Kompatibilita s evropskými datovými prostory</w:t>
      </w:r>
    </w:p>
    <w:p w14:paraId="59A46C0D" w14:textId="77777777" w:rsidR="00B5539E" w:rsidRPr="00685182" w:rsidRDefault="002331A6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Dodané řešení by mělo být technicky a funkčně připraveno na integraci nebo propojení s:</w:t>
      </w:r>
    </w:p>
    <w:p w14:paraId="13D21A19" w14:textId="024326A2" w:rsidR="00B5539E" w:rsidRPr="00685182" w:rsidRDefault="002331A6">
      <w:pPr>
        <w:numPr>
          <w:ilvl w:val="0"/>
          <w:numId w:val="39"/>
        </w:numPr>
        <w:spacing w:before="240" w:after="0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Datový prostor mobility, datový prostor cestovního ruchu, datový prostor Green </w:t>
      </w:r>
      <w:proofErr w:type="spellStart"/>
      <w:r w:rsidRPr="00685182">
        <w:rPr>
          <w:rFonts w:asciiTheme="minorHAnsi" w:hAnsiTheme="minorHAnsi" w:cstheme="minorHAnsi"/>
          <w:sz w:val="22"/>
          <w:szCs w:val="22"/>
        </w:rPr>
        <w:t>Deal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>). Komunikace v rámci datového prostoru je stále ve vývoji. komunikace s jinými datovými prostory by měla být vyhodnocena podle konkrétního případu použití.</w:t>
      </w:r>
    </w:p>
    <w:p w14:paraId="1EA627DB" w14:textId="54A3EF24" w:rsidR="00261AB9" w:rsidRPr="00685182" w:rsidRDefault="002331A6" w:rsidP="00261AB9">
      <w:pPr>
        <w:numPr>
          <w:ilvl w:val="0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proofErr w:type="spellStart"/>
      <w:r w:rsidRPr="00685182">
        <w:rPr>
          <w:rFonts w:asciiTheme="minorHAnsi" w:hAnsiTheme="minorHAnsi" w:cstheme="minorHAnsi"/>
          <w:sz w:val="22"/>
          <w:szCs w:val="22"/>
        </w:rPr>
        <w:t>Sandboxy</w:t>
      </w:r>
      <w:proofErr w:type="spellEnd"/>
      <w:r w:rsidRPr="00685182">
        <w:rPr>
          <w:rFonts w:asciiTheme="minorHAnsi" w:hAnsiTheme="minorHAnsi" w:cstheme="minorHAnsi"/>
          <w:sz w:val="22"/>
          <w:szCs w:val="22"/>
        </w:rPr>
        <w:t xml:space="preserve"> a federace provozované v rámci Centra pro podporu datových prostorů nebo středisek GAIA-X.</w:t>
      </w:r>
    </w:p>
    <w:p w14:paraId="226935F0" w14:textId="78E48066" w:rsidR="00B5539E" w:rsidRPr="00B365B6" w:rsidRDefault="002331A6">
      <w:pPr>
        <w:pStyle w:val="Nadpis2"/>
        <w:numPr>
          <w:ilvl w:val="0"/>
          <w:numId w:val="33"/>
        </w:numPr>
        <w:spacing w:before="240" w:after="240"/>
        <w:ind w:left="708"/>
        <w:rPr>
          <w:rFonts w:cstheme="minorHAnsi"/>
        </w:rPr>
      </w:pPr>
      <w:bookmarkStart w:id="14" w:name="_heading=h.8ucn0mi267e8" w:colFirst="0" w:colLast="0"/>
      <w:bookmarkEnd w:id="14"/>
      <w:r w:rsidRPr="00B365B6">
        <w:rPr>
          <w:rFonts w:cstheme="minorHAnsi"/>
        </w:rPr>
        <w:t>Fáze projektu</w:t>
      </w:r>
    </w:p>
    <w:p w14:paraId="3946F88D" w14:textId="77777777" w:rsidR="00B5539E" w:rsidRPr="00685182" w:rsidRDefault="002331A6" w:rsidP="00261AB9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 xml:space="preserve">Zadavatel předpokládá, že realizace datového prostoru proběhne ve strukturovaných etapách, které zajistí funkční, bezpečné a udržitelné zavedení systému do praxe. </w:t>
      </w:r>
    </w:p>
    <w:p w14:paraId="72BA142F" w14:textId="2EF52AD0" w:rsidR="00B5539E" w:rsidRPr="00685182" w:rsidRDefault="002331A6" w:rsidP="00261AB9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685182">
        <w:rPr>
          <w:rFonts w:asciiTheme="minorHAnsi" w:hAnsiTheme="minorHAnsi" w:cstheme="minorHAnsi"/>
          <w:sz w:val="22"/>
          <w:szCs w:val="22"/>
        </w:rPr>
        <w:t>Realizace projektu bude probíhat ve fázích, které odpovídají logické struktuře předmětu plnění uvedeného v kapitole 2 tohoto dokumentu. Jednotlivé fáze představují klíčové milníky v</w:t>
      </w:r>
      <w:r w:rsidR="00261AB9" w:rsidRPr="00685182">
        <w:rPr>
          <w:rFonts w:asciiTheme="minorHAnsi" w:hAnsiTheme="minorHAnsi" w:cstheme="minorHAnsi"/>
          <w:sz w:val="22"/>
          <w:szCs w:val="22"/>
        </w:rPr>
        <w:t> </w:t>
      </w:r>
      <w:r w:rsidRPr="00685182">
        <w:rPr>
          <w:rFonts w:asciiTheme="minorHAnsi" w:hAnsiTheme="minorHAnsi" w:cstheme="minorHAnsi"/>
          <w:sz w:val="22"/>
          <w:szCs w:val="22"/>
        </w:rPr>
        <w:t>procesu návrhu, zavedení, zprovoznění a předání datového prostoru do správy zadavatele. Odhad délky jednotlivých fází slouží jako orientační rámec pro plánování a organizaci prací.</w:t>
      </w:r>
    </w:p>
    <w:tbl>
      <w:tblPr>
        <w:tblStyle w:val="a2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5160"/>
        <w:gridCol w:w="1650"/>
      </w:tblGrid>
      <w:tr w:rsidR="00B5539E" w14:paraId="639C572F" w14:textId="77777777" w:rsidTr="00261AB9">
        <w:trPr>
          <w:trHeight w:val="36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53C8B" w14:textId="77777777" w:rsidR="00B5539E" w:rsidRDefault="002331A6" w:rsidP="00261AB9">
            <w:pPr>
              <w:spacing w:before="120" w:after="120"/>
              <w:jc w:val="center"/>
            </w:pPr>
            <w:r w:rsidRPr="00685182">
              <w:rPr>
                <w:b/>
                <w:sz w:val="22"/>
                <w:szCs w:val="22"/>
              </w:rPr>
              <w:t>Fáze projektu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88DF" w14:textId="77777777" w:rsidR="00B5539E" w:rsidRDefault="002331A6" w:rsidP="00261AB9">
            <w:pPr>
              <w:spacing w:before="120" w:after="120"/>
              <w:jc w:val="center"/>
            </w:pPr>
            <w:r w:rsidRPr="00685182">
              <w:rPr>
                <w:b/>
                <w:sz w:val="22"/>
                <w:szCs w:val="22"/>
              </w:rPr>
              <w:t>Popis činnosti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ADD4" w14:textId="77777777" w:rsidR="00B5539E" w:rsidRDefault="002331A6" w:rsidP="00261AB9">
            <w:pPr>
              <w:spacing w:before="120" w:after="120"/>
              <w:jc w:val="center"/>
            </w:pPr>
            <w:r w:rsidRPr="00685182">
              <w:rPr>
                <w:b/>
                <w:sz w:val="22"/>
                <w:szCs w:val="22"/>
              </w:rPr>
              <w:t>Odhad trvání</w:t>
            </w:r>
          </w:p>
        </w:tc>
      </w:tr>
      <w:tr w:rsidR="00B5539E" w14:paraId="0E3F588F" w14:textId="77777777">
        <w:trPr>
          <w:trHeight w:val="10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9969D" w14:textId="77777777" w:rsidR="00B5539E" w:rsidRDefault="002331A6">
            <w:pPr>
              <w:spacing w:before="240"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Dodání komponent datového prostoru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3FE7E" w14:textId="77777777" w:rsidR="00B5539E" w:rsidRDefault="002331A6">
            <w:pPr>
              <w:spacing w:before="240" w:after="0"/>
            </w:pPr>
            <w:r w:rsidRPr="00685182">
              <w:rPr>
                <w:sz w:val="22"/>
                <w:szCs w:val="22"/>
              </w:rPr>
              <w:t>Dodání a konfigurace komponent datového prostoru: konektor, katalog, identity &amp; trust moduly, auditní komponenty, správce zásad používání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7128B" w14:textId="77777777" w:rsidR="00B5539E" w:rsidRDefault="002331A6">
            <w:pPr>
              <w:spacing w:before="240" w:after="240"/>
            </w:pPr>
            <w:r w:rsidRPr="00685182">
              <w:rPr>
                <w:sz w:val="22"/>
                <w:szCs w:val="22"/>
              </w:rPr>
              <w:t>1–2 měsíce</w:t>
            </w:r>
          </w:p>
        </w:tc>
      </w:tr>
      <w:tr w:rsidR="00B5539E" w14:paraId="1CD1F7C8" w14:textId="77777777">
        <w:trPr>
          <w:trHeight w:val="10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51561" w14:textId="77777777" w:rsidR="00B5539E" w:rsidRDefault="002331A6">
            <w:pPr>
              <w:spacing w:before="240"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Uvedení do pilotního provozu a podpora testování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20341" w14:textId="77777777" w:rsidR="00B5539E" w:rsidRDefault="002331A6">
            <w:pPr>
              <w:spacing w:before="240" w:after="0"/>
            </w:pPr>
            <w:r w:rsidRPr="00685182">
              <w:rPr>
                <w:sz w:val="22"/>
                <w:szCs w:val="22"/>
              </w:rPr>
              <w:t>Instalace v prostředí zadavatele, základní funkční testy, ověření interoperability, školení správců a uživatelů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3A65B" w14:textId="77777777" w:rsidR="00B5539E" w:rsidRDefault="002331A6">
            <w:pPr>
              <w:spacing w:before="240" w:after="240"/>
            </w:pPr>
            <w:r w:rsidRPr="00685182">
              <w:rPr>
                <w:sz w:val="22"/>
                <w:szCs w:val="22"/>
              </w:rPr>
              <w:t>2–3 měsíce</w:t>
            </w:r>
          </w:p>
        </w:tc>
      </w:tr>
      <w:tr w:rsidR="00B5539E" w14:paraId="78EE0CE7" w14:textId="77777777">
        <w:trPr>
          <w:trHeight w:val="10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B7DE9" w14:textId="77777777" w:rsidR="00B5539E" w:rsidRDefault="002331A6">
            <w:pPr>
              <w:spacing w:before="240"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Integrace dat a registrace účastníků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A2DB5" w14:textId="77777777" w:rsidR="00B5539E" w:rsidRDefault="002331A6">
            <w:pPr>
              <w:spacing w:before="240" w:after="0"/>
            </w:pPr>
            <w:r w:rsidRPr="00685182">
              <w:rPr>
                <w:sz w:val="22"/>
                <w:szCs w:val="22"/>
              </w:rPr>
              <w:t>Připojení vybraných partnerů (např. obce, DMO), příprava a katalogizace prvních datových sad, nastavení přístupových práv a rolí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85F54" w14:textId="77777777" w:rsidR="00B5539E" w:rsidRDefault="002331A6">
            <w:pPr>
              <w:spacing w:before="240" w:after="240"/>
            </w:pPr>
            <w:r w:rsidRPr="00685182">
              <w:rPr>
                <w:sz w:val="22"/>
                <w:szCs w:val="22"/>
              </w:rPr>
              <w:t>1–2 měsíce</w:t>
            </w:r>
          </w:p>
        </w:tc>
      </w:tr>
      <w:tr w:rsidR="00B5539E" w14:paraId="7AE6E3B5" w14:textId="77777777">
        <w:trPr>
          <w:trHeight w:val="10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1EFA1" w14:textId="77777777" w:rsidR="00B5539E" w:rsidRDefault="002331A6">
            <w:pPr>
              <w:spacing w:before="240"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Dodání technické a metodické dokumentace 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2DB1E" w14:textId="77777777" w:rsidR="00B5539E" w:rsidRDefault="002331A6">
            <w:pPr>
              <w:spacing w:before="240" w:after="0"/>
            </w:pPr>
            <w:r w:rsidRPr="00685182">
              <w:rPr>
                <w:sz w:val="22"/>
                <w:szCs w:val="22"/>
              </w:rPr>
              <w:t xml:space="preserve">Komplexní dokumentace komponent, API, architektury, provozních parametrů, </w:t>
            </w:r>
            <w:proofErr w:type="spellStart"/>
            <w:r w:rsidRPr="00685182">
              <w:rPr>
                <w:sz w:val="22"/>
                <w:szCs w:val="22"/>
              </w:rPr>
              <w:t>onboardingu</w:t>
            </w:r>
            <w:proofErr w:type="spellEnd"/>
            <w:r w:rsidRPr="00685182">
              <w:rPr>
                <w:sz w:val="22"/>
                <w:szCs w:val="22"/>
              </w:rPr>
              <w:t xml:space="preserve"> partnerů a integračních návodů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CC964" w14:textId="77777777" w:rsidR="00B5539E" w:rsidRDefault="002331A6">
            <w:pPr>
              <w:spacing w:before="240" w:after="240"/>
            </w:pPr>
            <w:r w:rsidRPr="00685182">
              <w:rPr>
                <w:sz w:val="22"/>
                <w:szCs w:val="22"/>
              </w:rPr>
              <w:t>souběžně s fází 2 a 3</w:t>
            </w:r>
          </w:p>
        </w:tc>
      </w:tr>
      <w:tr w:rsidR="00B5539E" w14:paraId="4F7B71DE" w14:textId="77777777">
        <w:trPr>
          <w:trHeight w:val="10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A838E" w14:textId="77777777" w:rsidR="00B5539E" w:rsidRDefault="002331A6">
            <w:pPr>
              <w:spacing w:before="240"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Předání a provozní příprava (</w:t>
            </w:r>
            <w:proofErr w:type="spellStart"/>
            <w:r w:rsidRPr="00685182">
              <w:rPr>
                <w:b/>
                <w:sz w:val="22"/>
                <w:szCs w:val="22"/>
              </w:rPr>
              <w:t>DSaaS</w:t>
            </w:r>
            <w:proofErr w:type="spellEnd"/>
            <w:r w:rsidRPr="0068518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5882C" w14:textId="77777777" w:rsidR="00B5539E" w:rsidRDefault="002331A6">
            <w:pPr>
              <w:spacing w:before="240" w:after="0"/>
            </w:pPr>
            <w:r w:rsidRPr="00685182">
              <w:rPr>
                <w:sz w:val="22"/>
                <w:szCs w:val="22"/>
              </w:rPr>
              <w:t>Finalizace dokumentace, nastavení SLA, předání systému do správy, definice provozních procesů, eskalačních schémat a případně exit strategie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5D28E" w14:textId="3AB8C222" w:rsidR="00B5539E" w:rsidRDefault="00493794" w:rsidP="00493794">
            <w:pPr>
              <w:spacing w:before="240" w:after="240"/>
            </w:pPr>
            <w:r w:rsidRPr="00685182">
              <w:rPr>
                <w:sz w:val="22"/>
                <w:szCs w:val="22"/>
              </w:rPr>
              <w:t xml:space="preserve">1 </w:t>
            </w:r>
            <w:r w:rsidR="002331A6" w:rsidRPr="00685182">
              <w:rPr>
                <w:sz w:val="22"/>
                <w:szCs w:val="22"/>
              </w:rPr>
              <w:t>měsíc</w:t>
            </w:r>
          </w:p>
        </w:tc>
      </w:tr>
    </w:tbl>
    <w:p w14:paraId="6BF01337" w14:textId="77777777" w:rsidR="00261AB9" w:rsidRPr="00685182" w:rsidRDefault="00261AB9">
      <w:pPr>
        <w:rPr>
          <w:sz w:val="22"/>
          <w:szCs w:val="22"/>
        </w:rPr>
      </w:pPr>
      <w:r w:rsidRPr="00685182">
        <w:rPr>
          <w:sz w:val="22"/>
          <w:szCs w:val="22"/>
        </w:rPr>
        <w:br w:type="page"/>
      </w:r>
    </w:p>
    <w:p w14:paraId="2B2B7E55" w14:textId="1CACBF07" w:rsidR="001E3596" w:rsidRDefault="001E3596" w:rsidP="001F3998">
      <w:pPr>
        <w:pStyle w:val="Nadpis2"/>
        <w:numPr>
          <w:ilvl w:val="0"/>
          <w:numId w:val="33"/>
        </w:numPr>
      </w:pPr>
      <w:r>
        <w:lastRenderedPageBreak/>
        <w:t>Slovník pojmů k datovému prostoru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532"/>
        <w:gridCol w:w="6524"/>
      </w:tblGrid>
      <w:tr w:rsidR="001E3596" w14:paraId="56BFEB95" w14:textId="77777777" w:rsidTr="00685182">
        <w:trPr>
          <w:trHeight w:val="3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4ABC" w14:textId="77777777" w:rsidR="001E3596" w:rsidRDefault="001E3596" w:rsidP="00261AB9">
            <w:pPr>
              <w:spacing w:before="120" w:after="120"/>
              <w:jc w:val="center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Pojem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EF8E" w14:textId="77777777" w:rsidR="001E3596" w:rsidRDefault="001E3596" w:rsidP="00261AB9">
            <w:pPr>
              <w:spacing w:before="120" w:after="120"/>
              <w:jc w:val="center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Vysvětlení</w:t>
            </w:r>
          </w:p>
        </w:tc>
      </w:tr>
      <w:tr w:rsidR="001E3596" w14:paraId="0B8C31CE" w14:textId="77777777" w:rsidTr="00685182">
        <w:trPr>
          <w:trHeight w:val="11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9A88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Clearing House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205B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Komponenta datového prostoru, která zaznamenává transakce mezi účastníky (např. kdo komu co sdílel). Zajišťuje auditovatelnost, důvěru a někdy i vyúčtování v případě zpoplatněného sdílení dat.</w:t>
            </w:r>
          </w:p>
        </w:tc>
      </w:tr>
      <w:tr w:rsidR="001E3596" w14:paraId="383AE4AA" w14:textId="77777777" w:rsidTr="00930540">
        <w:trPr>
          <w:trHeight w:val="6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F7126" w14:textId="77777777" w:rsidR="001E3596" w:rsidRDefault="001E3596" w:rsidP="00685182">
            <w:pPr>
              <w:spacing w:after="0"/>
              <w:rPr>
                <w:b/>
              </w:rPr>
            </w:pPr>
            <w:proofErr w:type="spellStart"/>
            <w:r w:rsidRPr="00685182">
              <w:rPr>
                <w:b/>
                <w:sz w:val="22"/>
                <w:szCs w:val="22"/>
              </w:rPr>
              <w:t>Connector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72F5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Softwarová komponenta, která propojuje účastníky v datovém prostoru a umožňuje bezpečné a kontrolované sdílení dat.</w:t>
            </w:r>
          </w:p>
        </w:tc>
      </w:tr>
      <w:tr w:rsidR="001E3596" w14:paraId="131825CE" w14:textId="77777777" w:rsidTr="00685182">
        <w:trPr>
          <w:trHeight w:val="5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286C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CSV (</w:t>
            </w:r>
            <w:proofErr w:type="spellStart"/>
            <w:r w:rsidRPr="00685182">
              <w:rPr>
                <w:b/>
                <w:sz w:val="22"/>
                <w:szCs w:val="22"/>
              </w:rPr>
              <w:t>Comma-Separated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Values</w:t>
            </w:r>
            <w:proofErr w:type="spellEnd"/>
            <w:r w:rsidRPr="0068518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88D4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Jednoduchý formát pro tabulková data.</w:t>
            </w:r>
          </w:p>
        </w:tc>
      </w:tr>
      <w:tr w:rsidR="001E3596" w14:paraId="379ED99F" w14:textId="77777777" w:rsidTr="00685182">
        <w:trPr>
          <w:trHeight w:val="9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EFBD2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DCAT-AP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72AA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 xml:space="preserve">Evropský profil pro popis metadat katalogů dat (např. ve veřejné správě nebo </w:t>
            </w:r>
            <w:proofErr w:type="spellStart"/>
            <w:r w:rsidRPr="00685182">
              <w:rPr>
                <w:sz w:val="22"/>
                <w:szCs w:val="22"/>
              </w:rPr>
              <w:t>dataspace</w:t>
            </w:r>
            <w:proofErr w:type="spellEnd"/>
            <w:r w:rsidRPr="00685182">
              <w:rPr>
                <w:sz w:val="22"/>
                <w:szCs w:val="22"/>
              </w:rPr>
              <w:t xml:space="preserve">). Umožňuje snadné dohledání a sdílení </w:t>
            </w:r>
            <w:proofErr w:type="spellStart"/>
            <w:r w:rsidRPr="00685182">
              <w:rPr>
                <w:sz w:val="22"/>
                <w:szCs w:val="22"/>
              </w:rPr>
              <w:t>datasetů</w:t>
            </w:r>
            <w:proofErr w:type="spellEnd"/>
            <w:r w:rsidRPr="00685182">
              <w:rPr>
                <w:sz w:val="22"/>
                <w:szCs w:val="22"/>
              </w:rPr>
              <w:t>.</w:t>
            </w:r>
          </w:p>
        </w:tc>
      </w:tr>
      <w:tr w:rsidR="001E3596" w14:paraId="32FEA36D" w14:textId="77777777" w:rsidTr="0068518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77E2" w14:textId="77777777" w:rsidR="001E3596" w:rsidRDefault="001E3596" w:rsidP="00685182">
            <w:pPr>
              <w:spacing w:after="0"/>
              <w:rPr>
                <w:b/>
              </w:rPr>
            </w:pPr>
            <w:proofErr w:type="spellStart"/>
            <w:r w:rsidRPr="00685182">
              <w:rPr>
                <w:b/>
                <w:sz w:val="22"/>
                <w:szCs w:val="22"/>
              </w:rPr>
              <w:t>DSaaS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(Data </w:t>
            </w:r>
            <w:proofErr w:type="spellStart"/>
            <w:r w:rsidRPr="00685182">
              <w:rPr>
                <w:b/>
                <w:sz w:val="22"/>
                <w:szCs w:val="22"/>
              </w:rPr>
              <w:t>Space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as a </w:t>
            </w:r>
            <w:proofErr w:type="spellStart"/>
            <w:r w:rsidRPr="00685182">
              <w:rPr>
                <w:b/>
                <w:sz w:val="22"/>
                <w:szCs w:val="22"/>
              </w:rPr>
              <w:t>Service</w:t>
            </w:r>
            <w:proofErr w:type="spellEnd"/>
            <w:r w:rsidRPr="0068518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121C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Model, ve kterém je celý datový prostor nebo jeho komponenty (např. konektor, katalog, správa identity) poskytován jako služba.</w:t>
            </w:r>
          </w:p>
        </w:tc>
      </w:tr>
      <w:tr w:rsidR="001E3596" w14:paraId="512D95F4" w14:textId="77777777" w:rsidTr="00930540">
        <w:trPr>
          <w:trHeight w:val="8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4B9C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DSSC (Data </w:t>
            </w:r>
            <w:proofErr w:type="spellStart"/>
            <w:r w:rsidRPr="00685182">
              <w:rPr>
                <w:b/>
                <w:sz w:val="22"/>
                <w:szCs w:val="22"/>
              </w:rPr>
              <w:t>Space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Support Centre)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96A8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 xml:space="preserve">Evropské centrum koordinující vývoj společných evropských datových prostorů. Poskytuje metodiky, </w:t>
            </w:r>
            <w:proofErr w:type="spellStart"/>
            <w:r w:rsidRPr="00685182">
              <w:rPr>
                <w:sz w:val="22"/>
                <w:szCs w:val="22"/>
              </w:rPr>
              <w:t>blueprinty</w:t>
            </w:r>
            <w:proofErr w:type="spellEnd"/>
            <w:r w:rsidRPr="00685182">
              <w:rPr>
                <w:sz w:val="22"/>
                <w:szCs w:val="22"/>
              </w:rPr>
              <w:t xml:space="preserve">, standardy a slovník pojmů. Slouží jako zastřešující rámec pro sektorové </w:t>
            </w:r>
            <w:proofErr w:type="spellStart"/>
            <w:r w:rsidRPr="00685182">
              <w:rPr>
                <w:sz w:val="22"/>
                <w:szCs w:val="22"/>
              </w:rPr>
              <w:t>dataspace</w:t>
            </w:r>
            <w:proofErr w:type="spellEnd"/>
            <w:r w:rsidRPr="00685182">
              <w:rPr>
                <w:sz w:val="22"/>
                <w:szCs w:val="22"/>
              </w:rPr>
              <w:t xml:space="preserve"> iniciativy.</w:t>
            </w:r>
          </w:p>
        </w:tc>
      </w:tr>
      <w:tr w:rsidR="001E3596" w14:paraId="51E9E414" w14:textId="77777777" w:rsidTr="00685182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9345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DSSC </w:t>
            </w:r>
            <w:proofErr w:type="spellStart"/>
            <w:r w:rsidRPr="00685182">
              <w:rPr>
                <w:b/>
                <w:sz w:val="22"/>
                <w:szCs w:val="22"/>
              </w:rPr>
              <w:t>Sandbox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4B1E7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Testovací prostředí vytvořené DSSC, ve kterém mohou vývojáři a organizace experimentovat s komponentami datového prostoru – např. konektory, katalogy, správa identity.</w:t>
            </w:r>
          </w:p>
        </w:tc>
      </w:tr>
      <w:tr w:rsidR="001E3596" w14:paraId="37F69825" w14:textId="77777777" w:rsidTr="00930540">
        <w:trPr>
          <w:trHeight w:val="6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A218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EDC (</w:t>
            </w:r>
            <w:proofErr w:type="spellStart"/>
            <w:r w:rsidRPr="00685182">
              <w:rPr>
                <w:b/>
                <w:sz w:val="22"/>
                <w:szCs w:val="22"/>
              </w:rPr>
              <w:t>Eclipse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Dataspace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Components</w:t>
            </w:r>
            <w:proofErr w:type="spellEnd"/>
            <w:r w:rsidRPr="0068518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297D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 xml:space="preserve">Open-source framework spravovaný nadací </w:t>
            </w:r>
            <w:proofErr w:type="spellStart"/>
            <w:r w:rsidRPr="00685182">
              <w:rPr>
                <w:sz w:val="22"/>
                <w:szCs w:val="22"/>
              </w:rPr>
              <w:t>Eclipse</w:t>
            </w:r>
            <w:proofErr w:type="spellEnd"/>
            <w:r w:rsidRPr="00685182">
              <w:rPr>
                <w:sz w:val="22"/>
                <w:szCs w:val="22"/>
              </w:rPr>
              <w:t xml:space="preserve"> pro budování konektorů v datových prostorech.</w:t>
            </w:r>
          </w:p>
        </w:tc>
      </w:tr>
      <w:tr w:rsidR="001E3596" w14:paraId="64309FC1" w14:textId="77777777" w:rsidTr="00930540">
        <w:trPr>
          <w:trHeight w:val="6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A753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EDWG (</w:t>
            </w:r>
            <w:proofErr w:type="spellStart"/>
            <w:r w:rsidRPr="00685182">
              <w:rPr>
                <w:b/>
                <w:sz w:val="22"/>
                <w:szCs w:val="22"/>
              </w:rPr>
              <w:t>European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Data </w:t>
            </w:r>
            <w:proofErr w:type="spellStart"/>
            <w:r w:rsidRPr="00685182">
              <w:rPr>
                <w:b/>
                <w:sz w:val="22"/>
                <w:szCs w:val="22"/>
              </w:rPr>
              <w:t>Working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Group)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AD380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Pracovní skupina na evropské úrovni, která se věnuje rozvoji datových prostorů, datové interoperability a strategických rámců.</w:t>
            </w:r>
          </w:p>
        </w:tc>
      </w:tr>
      <w:tr w:rsidR="001E3596" w14:paraId="3ED07620" w14:textId="77777777" w:rsidTr="00685182">
        <w:trPr>
          <w:trHeight w:val="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892E" w14:textId="77777777" w:rsidR="001E3596" w:rsidRDefault="001E3596" w:rsidP="00685182">
            <w:pPr>
              <w:spacing w:after="0"/>
              <w:rPr>
                <w:b/>
              </w:rPr>
            </w:pPr>
            <w:proofErr w:type="spellStart"/>
            <w:r w:rsidRPr="00685182">
              <w:rPr>
                <w:b/>
                <w:sz w:val="22"/>
                <w:szCs w:val="22"/>
              </w:rPr>
              <w:t>eIDAS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69EC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 xml:space="preserve">Revidované evropské nařízení o elektronické identifikaci. Zavádí EUDI </w:t>
            </w:r>
            <w:proofErr w:type="spellStart"/>
            <w:r w:rsidRPr="00685182">
              <w:rPr>
                <w:sz w:val="22"/>
                <w:szCs w:val="22"/>
              </w:rPr>
              <w:t>Wallet</w:t>
            </w:r>
            <w:proofErr w:type="spellEnd"/>
            <w:r w:rsidRPr="00685182">
              <w:rPr>
                <w:sz w:val="22"/>
                <w:szCs w:val="22"/>
              </w:rPr>
              <w:t xml:space="preserve"> a podporuje interoperabilní digitální identitu v EU.</w:t>
            </w:r>
          </w:p>
        </w:tc>
      </w:tr>
      <w:tr w:rsidR="001E3596" w14:paraId="6E61B79D" w14:textId="77777777" w:rsidTr="00930540">
        <w:trPr>
          <w:trHeight w:val="6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78F9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lastRenderedPageBreak/>
              <w:t>ENISA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D002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Agentura Evropské unie pro kybernetickou bezpečnost. Vydává certifikace a standardy pro bezpečnost v oblasti datových prostorů.</w:t>
            </w:r>
          </w:p>
        </w:tc>
      </w:tr>
      <w:tr w:rsidR="001E3596" w14:paraId="48667745" w14:textId="77777777" w:rsidTr="00930540">
        <w:trPr>
          <w:trHeight w:val="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E88A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EUDI </w:t>
            </w:r>
            <w:proofErr w:type="spellStart"/>
            <w:r w:rsidRPr="00685182">
              <w:rPr>
                <w:b/>
                <w:sz w:val="22"/>
                <w:szCs w:val="22"/>
              </w:rPr>
              <w:t>Wallet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BC31" w14:textId="6345CD60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 xml:space="preserve">Evropská peněženka digitální identity podle </w:t>
            </w:r>
            <w:proofErr w:type="spellStart"/>
            <w:r w:rsidRPr="00685182">
              <w:rPr>
                <w:sz w:val="22"/>
                <w:szCs w:val="22"/>
              </w:rPr>
              <w:t>eIDAS</w:t>
            </w:r>
            <w:proofErr w:type="spellEnd"/>
            <w:r w:rsidRPr="00685182">
              <w:rPr>
                <w:sz w:val="22"/>
                <w:szCs w:val="22"/>
              </w:rPr>
              <w:t xml:space="preserve"> 2.0. Občané a firmy si do ní budou moci uložit důvěryhodné digitální doklady a používat je např. při přístupu ke službám či při podepisování transakcí v</w:t>
            </w:r>
            <w:r w:rsidR="00930540">
              <w:rPr>
                <w:sz w:val="22"/>
                <w:szCs w:val="22"/>
              </w:rPr>
              <w:t> </w:t>
            </w:r>
            <w:proofErr w:type="spellStart"/>
            <w:r w:rsidRPr="00685182">
              <w:rPr>
                <w:sz w:val="22"/>
                <w:szCs w:val="22"/>
              </w:rPr>
              <w:t>dataspace</w:t>
            </w:r>
            <w:proofErr w:type="spellEnd"/>
            <w:r w:rsidRPr="00685182">
              <w:rPr>
                <w:sz w:val="22"/>
                <w:szCs w:val="22"/>
              </w:rPr>
              <w:t>.</w:t>
            </w:r>
          </w:p>
        </w:tc>
      </w:tr>
      <w:tr w:rsidR="001E3596" w14:paraId="782B2E91" w14:textId="77777777" w:rsidTr="00685182">
        <w:trPr>
          <w:trHeight w:val="7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793F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GAIA-X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A1DEF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Evropská iniciativa usilující o vytvoření federované datové infrastruktury na bázi otevřených standardů.</w:t>
            </w:r>
          </w:p>
        </w:tc>
      </w:tr>
      <w:tr w:rsidR="001E3596" w14:paraId="1C407FE0" w14:textId="77777777" w:rsidTr="00685182">
        <w:trPr>
          <w:trHeight w:val="9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65B3A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GAIA-X </w:t>
            </w:r>
            <w:proofErr w:type="spellStart"/>
            <w:r w:rsidRPr="00685182">
              <w:rPr>
                <w:b/>
                <w:sz w:val="22"/>
                <w:szCs w:val="22"/>
              </w:rPr>
              <w:t>Federation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7EF0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Sada služeb zajišťující interoperabilitu a důvěru v rámci federace datových prostorů. Jedná se o základní stavební kameny Gaia-X ekosystému.</w:t>
            </w:r>
          </w:p>
        </w:tc>
      </w:tr>
      <w:tr w:rsidR="001E3596" w14:paraId="2D15D815" w14:textId="77777777" w:rsidTr="00685182">
        <w:trPr>
          <w:trHeight w:val="6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812C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Identity and Trust </w:t>
            </w:r>
            <w:proofErr w:type="spellStart"/>
            <w:r w:rsidRPr="00685182">
              <w:rPr>
                <w:b/>
                <w:sz w:val="22"/>
                <w:szCs w:val="22"/>
              </w:rPr>
              <w:t>modules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7C27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Moduly pro správu identit a důvěry v datovém prostoru.</w:t>
            </w:r>
          </w:p>
        </w:tc>
      </w:tr>
      <w:tr w:rsidR="001E3596" w14:paraId="636E8833" w14:textId="77777777" w:rsidTr="00930540">
        <w:trPr>
          <w:trHeight w:val="7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7765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IDS </w:t>
            </w:r>
            <w:proofErr w:type="spellStart"/>
            <w:r w:rsidRPr="00685182">
              <w:rPr>
                <w:b/>
                <w:sz w:val="22"/>
                <w:szCs w:val="22"/>
              </w:rPr>
              <w:t>Rulebook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2864" w14:textId="250039CD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Dokument vydávaný IDSA, který stanovuje pravidla (technická, právní i</w:t>
            </w:r>
            <w:r w:rsidR="00930540">
              <w:rPr>
                <w:sz w:val="22"/>
                <w:szCs w:val="22"/>
              </w:rPr>
              <w:t> </w:t>
            </w:r>
            <w:r w:rsidRPr="00685182">
              <w:rPr>
                <w:sz w:val="22"/>
                <w:szCs w:val="22"/>
              </w:rPr>
              <w:t>organizační) pro fungování datových prostorů založených na architektuře IDS.</w:t>
            </w:r>
          </w:p>
        </w:tc>
      </w:tr>
      <w:tr w:rsidR="001E3596" w14:paraId="5C936C31" w14:textId="77777777" w:rsidTr="00930540">
        <w:trPr>
          <w:trHeight w:val="7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C00BE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IDSA (International Data </w:t>
            </w:r>
            <w:proofErr w:type="spellStart"/>
            <w:r w:rsidRPr="00685182">
              <w:rPr>
                <w:b/>
                <w:sz w:val="22"/>
                <w:szCs w:val="22"/>
              </w:rPr>
              <w:t>Spaces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Association</w:t>
            </w:r>
            <w:proofErr w:type="spellEnd"/>
            <w:r w:rsidRPr="0068518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484D" w14:textId="6D862EDB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Nezisková mezinárodní asociace s cílem umožnit interoperabilní a</w:t>
            </w:r>
            <w:r w:rsidR="00930540">
              <w:rPr>
                <w:sz w:val="22"/>
                <w:szCs w:val="22"/>
              </w:rPr>
              <w:t> </w:t>
            </w:r>
            <w:r w:rsidRPr="00685182">
              <w:rPr>
                <w:sz w:val="22"/>
                <w:szCs w:val="22"/>
              </w:rPr>
              <w:t>důvěryhodnou výměnu dat v různých odvětvích.</w:t>
            </w:r>
          </w:p>
        </w:tc>
      </w:tr>
      <w:tr w:rsidR="001E3596" w14:paraId="76ED4118" w14:textId="77777777" w:rsidTr="00930540">
        <w:trPr>
          <w:trHeight w:val="8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72D0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IDS-RAM (Reference </w:t>
            </w:r>
            <w:proofErr w:type="spellStart"/>
            <w:r w:rsidRPr="00685182">
              <w:rPr>
                <w:b/>
                <w:sz w:val="22"/>
                <w:szCs w:val="22"/>
              </w:rPr>
              <w:t>Architecture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Model)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5554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Referenční architektonický model vyvinutý IDSA, který definuje komponenty (např. konektor), role, procesy a bezpečnostní zásady pro implementaci datového prostoru.</w:t>
            </w:r>
          </w:p>
        </w:tc>
      </w:tr>
      <w:tr w:rsidR="001E3596" w14:paraId="16B2CE40" w14:textId="77777777" w:rsidTr="00685182">
        <w:trPr>
          <w:trHeight w:val="9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1DCC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INSPIRE / </w:t>
            </w:r>
            <w:proofErr w:type="spellStart"/>
            <w:r w:rsidRPr="00685182">
              <w:rPr>
                <w:b/>
                <w:sz w:val="22"/>
                <w:szCs w:val="22"/>
              </w:rPr>
              <w:t>GeoJSON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EDA1F" w14:textId="2B87EB8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 xml:space="preserve">INSPIRE je směrnice EU pro sdílení geografických dat; </w:t>
            </w:r>
            <w:proofErr w:type="spellStart"/>
            <w:r w:rsidRPr="00685182">
              <w:rPr>
                <w:sz w:val="22"/>
                <w:szCs w:val="22"/>
              </w:rPr>
              <w:t>GeoJSON</w:t>
            </w:r>
            <w:proofErr w:type="spellEnd"/>
            <w:r w:rsidRPr="00685182">
              <w:rPr>
                <w:sz w:val="22"/>
                <w:szCs w:val="22"/>
              </w:rPr>
              <w:t xml:space="preserve"> je formát pro reprezentaci prostorových dat (body, linie, polygony) v</w:t>
            </w:r>
            <w:r w:rsidR="00930540">
              <w:rPr>
                <w:sz w:val="22"/>
                <w:szCs w:val="22"/>
              </w:rPr>
              <w:t> </w:t>
            </w:r>
            <w:r w:rsidRPr="00685182">
              <w:rPr>
                <w:sz w:val="22"/>
                <w:szCs w:val="22"/>
              </w:rPr>
              <w:t>JSON podobě.</w:t>
            </w:r>
          </w:p>
        </w:tc>
      </w:tr>
      <w:tr w:rsidR="001E3596" w14:paraId="156ADFFD" w14:textId="77777777" w:rsidTr="00685182">
        <w:trPr>
          <w:trHeight w:val="6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31CF" w14:textId="77777777" w:rsidR="001E3596" w:rsidRDefault="001E3596" w:rsidP="00685182">
            <w:pPr>
              <w:spacing w:after="0"/>
              <w:rPr>
                <w:b/>
              </w:rPr>
            </w:pPr>
            <w:proofErr w:type="spellStart"/>
            <w:r w:rsidRPr="00685182">
              <w:rPr>
                <w:b/>
                <w:sz w:val="22"/>
                <w:szCs w:val="22"/>
              </w:rPr>
              <w:t>iSHARE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6B3C1" w14:textId="369E8219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Nizozemský rámec pro správu identit, přístupových práv a důvěry v</w:t>
            </w:r>
            <w:r w:rsidR="00930540">
              <w:rPr>
                <w:sz w:val="22"/>
                <w:szCs w:val="22"/>
              </w:rPr>
              <w:t> </w:t>
            </w:r>
            <w:r w:rsidRPr="00685182">
              <w:rPr>
                <w:sz w:val="22"/>
                <w:szCs w:val="22"/>
              </w:rPr>
              <w:t>decentralizovaných prostředích sdílení dat.</w:t>
            </w:r>
          </w:p>
        </w:tc>
      </w:tr>
      <w:tr w:rsidR="001E3596" w14:paraId="54356FDE" w14:textId="77777777" w:rsidTr="00685182">
        <w:trPr>
          <w:trHeight w:val="7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9D77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ISO/IEC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ACAF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Mezinárodní organizace pro standardizaci (ISO) a Mezinárodní elektrotechnická komise (IEC).</w:t>
            </w:r>
          </w:p>
        </w:tc>
      </w:tr>
      <w:tr w:rsidR="001E3596" w14:paraId="1321F34F" w14:textId="77777777" w:rsidTr="00930540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7DA1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lastRenderedPageBreak/>
              <w:t xml:space="preserve">JSON-LD (JavaScript </w:t>
            </w:r>
            <w:proofErr w:type="spellStart"/>
            <w:r w:rsidRPr="00685182">
              <w:rPr>
                <w:b/>
                <w:sz w:val="22"/>
                <w:szCs w:val="22"/>
              </w:rPr>
              <w:t>Object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Notation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for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Linked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Data)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4522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 xml:space="preserve">Rozšíření klasického JSON formátu o sémantickou vrstvu. Umožňuje propojení dat pomocí </w:t>
            </w:r>
            <w:proofErr w:type="spellStart"/>
            <w:r w:rsidRPr="00685182">
              <w:rPr>
                <w:sz w:val="22"/>
                <w:szCs w:val="22"/>
              </w:rPr>
              <w:t>URIs</w:t>
            </w:r>
            <w:proofErr w:type="spellEnd"/>
            <w:r w:rsidRPr="00685182">
              <w:rPr>
                <w:sz w:val="22"/>
                <w:szCs w:val="22"/>
              </w:rPr>
              <w:t>.</w:t>
            </w:r>
          </w:p>
        </w:tc>
      </w:tr>
      <w:tr w:rsidR="001E3596" w14:paraId="7A862891" w14:textId="77777777" w:rsidTr="00685182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FDBE4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LUCON (</w:t>
            </w:r>
            <w:proofErr w:type="spellStart"/>
            <w:r w:rsidRPr="00685182">
              <w:rPr>
                <w:b/>
                <w:sz w:val="22"/>
                <w:szCs w:val="22"/>
              </w:rPr>
              <w:t>LUcy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CONtract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enforcement</w:t>
            </w:r>
            <w:proofErr w:type="spellEnd"/>
            <w:r w:rsidRPr="0068518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8A86" w14:textId="4D101B16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Framework pro technické vynucování pravidel použití dat v</w:t>
            </w:r>
            <w:r w:rsidR="00930540">
              <w:rPr>
                <w:sz w:val="22"/>
                <w:szCs w:val="22"/>
              </w:rPr>
              <w:t> </w:t>
            </w:r>
            <w:r w:rsidRPr="00685182">
              <w:rPr>
                <w:sz w:val="22"/>
                <w:szCs w:val="22"/>
              </w:rPr>
              <w:t>konektorech (např. logování, blokace, šifrování).</w:t>
            </w:r>
          </w:p>
        </w:tc>
      </w:tr>
      <w:tr w:rsidR="001E3596" w14:paraId="7405E727" w14:textId="77777777" w:rsidTr="00685182">
        <w:trPr>
          <w:trHeight w:val="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467A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NGSI-LD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7D47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Standard FIWARE pro výměnu kontextových informací v reálném čase, založený na principu propojených dat.</w:t>
            </w:r>
          </w:p>
        </w:tc>
      </w:tr>
      <w:tr w:rsidR="001E3596" w14:paraId="7D185E0D" w14:textId="77777777" w:rsidTr="00685182">
        <w:trPr>
          <w:trHeight w:val="9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C59F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NIS2 </w:t>
            </w:r>
            <w:proofErr w:type="spellStart"/>
            <w:r w:rsidRPr="00685182">
              <w:rPr>
                <w:b/>
                <w:sz w:val="22"/>
                <w:szCs w:val="22"/>
              </w:rPr>
              <w:t>ready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72162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Označení pro komponenty, infrastruktury nebo organizace, které jsou v souladu s požadavky směrnice NIS2 (o bezpečnosti sítí a informací).</w:t>
            </w:r>
          </w:p>
        </w:tc>
      </w:tr>
      <w:tr w:rsidR="001E3596" w14:paraId="1A292664" w14:textId="77777777" w:rsidTr="00685182">
        <w:trPr>
          <w:trHeight w:val="6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146E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ODRL (Open Digital </w:t>
            </w:r>
            <w:proofErr w:type="spellStart"/>
            <w:r w:rsidRPr="00685182">
              <w:rPr>
                <w:b/>
                <w:sz w:val="22"/>
                <w:szCs w:val="22"/>
              </w:rPr>
              <w:t>Rights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Language</w:t>
            </w:r>
            <w:proofErr w:type="spellEnd"/>
            <w:r w:rsidRPr="0068518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959A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Standard pro vyjadřování pravidel přístupu a použití dat (např. pouze pro výzkum).</w:t>
            </w:r>
          </w:p>
        </w:tc>
      </w:tr>
      <w:tr w:rsidR="001E3596" w14:paraId="73A6112D" w14:textId="77777777" w:rsidTr="00685182">
        <w:trPr>
          <w:trHeight w:val="4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7E1B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OWL (Web Ontology </w:t>
            </w:r>
            <w:proofErr w:type="spellStart"/>
            <w:r w:rsidRPr="00685182">
              <w:rPr>
                <w:b/>
                <w:sz w:val="22"/>
                <w:szCs w:val="22"/>
              </w:rPr>
              <w:t>Language</w:t>
            </w:r>
            <w:proofErr w:type="spellEnd"/>
            <w:r w:rsidRPr="0068518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98FD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Jazyk pro tvorbu ontologií – popis pojmů a jejich vztahů.</w:t>
            </w:r>
          </w:p>
        </w:tc>
      </w:tr>
      <w:tr w:rsidR="001E3596" w14:paraId="739AC057" w14:textId="77777777" w:rsidTr="00685182">
        <w:trPr>
          <w:trHeight w:val="10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E16F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RDF (</w:t>
            </w:r>
            <w:proofErr w:type="spellStart"/>
            <w:r w:rsidRPr="00685182">
              <w:rPr>
                <w:b/>
                <w:sz w:val="22"/>
                <w:szCs w:val="22"/>
              </w:rPr>
              <w:t>Resource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Description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Framework)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435A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Základní model pro sémantická data. Umožňuje vyjádřit trojice (subjekt–predikát–objekt) a vytvářet datové grafy.</w:t>
            </w:r>
          </w:p>
        </w:tc>
      </w:tr>
      <w:tr w:rsidR="001E3596" w14:paraId="7C12FDD2" w14:textId="77777777" w:rsidTr="00685182">
        <w:trPr>
          <w:trHeight w:val="5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B222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RDF/SPARQL </w:t>
            </w:r>
            <w:proofErr w:type="spellStart"/>
            <w:r w:rsidRPr="00685182">
              <w:rPr>
                <w:b/>
                <w:sz w:val="22"/>
                <w:szCs w:val="22"/>
              </w:rPr>
              <w:t>endpoint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84D1" w14:textId="428D26F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Webová služba, která zpřístupňuje data v sémantickém formátu RDF a</w:t>
            </w:r>
            <w:r w:rsidR="008C1F33">
              <w:rPr>
                <w:sz w:val="22"/>
                <w:szCs w:val="22"/>
              </w:rPr>
              <w:t> </w:t>
            </w:r>
            <w:r w:rsidRPr="00685182">
              <w:rPr>
                <w:sz w:val="22"/>
                <w:szCs w:val="22"/>
              </w:rPr>
              <w:t>umožňuje jejich dotazování pomocí jazyka SPARQL.</w:t>
            </w:r>
          </w:p>
        </w:tc>
      </w:tr>
      <w:tr w:rsidR="001E3596" w14:paraId="3BE2EE85" w14:textId="77777777" w:rsidTr="00685182">
        <w:trPr>
          <w:trHeight w:val="7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4E75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SHACL (</w:t>
            </w:r>
            <w:proofErr w:type="spellStart"/>
            <w:r w:rsidRPr="00685182">
              <w:rPr>
                <w:b/>
                <w:sz w:val="22"/>
                <w:szCs w:val="22"/>
              </w:rPr>
              <w:t>Shapes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Constraint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Language</w:t>
            </w:r>
            <w:proofErr w:type="spellEnd"/>
            <w:r w:rsidRPr="0068518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D15E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Jazyk pro validaci struktury RDF dat. Používá se k ověřování souladu dat s ontologií.</w:t>
            </w:r>
          </w:p>
        </w:tc>
      </w:tr>
      <w:tr w:rsidR="001E3596" w14:paraId="428983FD" w14:textId="77777777" w:rsidTr="00930540">
        <w:trPr>
          <w:trHeight w:val="8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4953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 xml:space="preserve">SIEM </w:t>
            </w:r>
            <w:proofErr w:type="spellStart"/>
            <w:r w:rsidRPr="00685182">
              <w:rPr>
                <w:b/>
                <w:sz w:val="22"/>
                <w:szCs w:val="22"/>
              </w:rPr>
              <w:t>tools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685182">
              <w:rPr>
                <w:b/>
                <w:sz w:val="22"/>
                <w:szCs w:val="22"/>
              </w:rPr>
              <w:t>Security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Information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and Event Management)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A2EE" w14:textId="62558771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Nástroje pro sledování, analýzu a korelaci bezpečnostních událostí v</w:t>
            </w:r>
            <w:r w:rsidR="00930540">
              <w:rPr>
                <w:sz w:val="22"/>
                <w:szCs w:val="22"/>
              </w:rPr>
              <w:t> </w:t>
            </w:r>
            <w:r w:rsidRPr="00685182">
              <w:rPr>
                <w:sz w:val="22"/>
                <w:szCs w:val="22"/>
              </w:rPr>
              <w:t xml:space="preserve">reálném čase. V </w:t>
            </w:r>
            <w:proofErr w:type="spellStart"/>
            <w:r w:rsidRPr="00685182">
              <w:rPr>
                <w:sz w:val="22"/>
                <w:szCs w:val="22"/>
              </w:rPr>
              <w:t>dataspace</w:t>
            </w:r>
            <w:proofErr w:type="spellEnd"/>
            <w:r w:rsidRPr="00685182">
              <w:rPr>
                <w:sz w:val="22"/>
                <w:szCs w:val="22"/>
              </w:rPr>
              <w:t xml:space="preserve"> pomáhají detekovat útoky a auditovat bezpečnost.</w:t>
            </w:r>
          </w:p>
        </w:tc>
      </w:tr>
      <w:tr w:rsidR="001E3596" w14:paraId="217DA4E1" w14:textId="77777777" w:rsidTr="00685182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60BF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SPARQL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13F14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Dotazovací jazyk pro data uložená ve formátu RDF.</w:t>
            </w:r>
          </w:p>
        </w:tc>
      </w:tr>
      <w:tr w:rsidR="001E3596" w14:paraId="086EE159" w14:textId="77777777" w:rsidTr="00685182">
        <w:trPr>
          <w:trHeight w:val="5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1192" w14:textId="77777777" w:rsidR="001E3596" w:rsidRDefault="001E3596" w:rsidP="00685182">
            <w:pPr>
              <w:spacing w:after="0"/>
              <w:rPr>
                <w:b/>
              </w:rPr>
            </w:pPr>
            <w:r w:rsidRPr="00685182">
              <w:rPr>
                <w:b/>
                <w:sz w:val="22"/>
                <w:szCs w:val="22"/>
              </w:rPr>
              <w:t>XML (</w:t>
            </w:r>
            <w:proofErr w:type="spellStart"/>
            <w:r w:rsidRPr="00685182">
              <w:rPr>
                <w:b/>
                <w:sz w:val="22"/>
                <w:szCs w:val="22"/>
              </w:rPr>
              <w:t>eXtensible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Markup</w:t>
            </w:r>
            <w:proofErr w:type="spellEnd"/>
            <w:r w:rsidRPr="006851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82">
              <w:rPr>
                <w:b/>
                <w:sz w:val="22"/>
                <w:szCs w:val="22"/>
              </w:rPr>
              <w:t>Language</w:t>
            </w:r>
            <w:proofErr w:type="spellEnd"/>
            <w:r w:rsidRPr="0068518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DF2F8" w14:textId="77777777" w:rsidR="001E3596" w:rsidRDefault="001E3596" w:rsidP="00685182">
            <w:pPr>
              <w:spacing w:after="0"/>
            </w:pPr>
            <w:r w:rsidRPr="00685182">
              <w:rPr>
                <w:sz w:val="22"/>
                <w:szCs w:val="22"/>
              </w:rPr>
              <w:t>Strukturovaný značkovací jazyk pro výměnu dat.</w:t>
            </w:r>
          </w:p>
        </w:tc>
      </w:tr>
    </w:tbl>
    <w:p w14:paraId="3032A7BE" w14:textId="77777777" w:rsidR="001E3596" w:rsidRPr="00685182" w:rsidRDefault="001E3596">
      <w:pPr>
        <w:spacing w:after="0"/>
        <w:rPr>
          <w:sz w:val="22"/>
          <w:szCs w:val="22"/>
        </w:rPr>
      </w:pPr>
    </w:p>
    <w:sectPr w:rsidR="001E3596" w:rsidRPr="006851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D259" w14:textId="77777777" w:rsidR="00A665CD" w:rsidRDefault="00A665CD" w:rsidP="00A665CD">
      <w:pPr>
        <w:spacing w:after="0" w:line="240" w:lineRule="auto"/>
      </w:pPr>
      <w:r>
        <w:separator/>
      </w:r>
    </w:p>
  </w:endnote>
  <w:endnote w:type="continuationSeparator" w:id="0">
    <w:p w14:paraId="3EDE829F" w14:textId="77777777" w:rsidR="00A665CD" w:rsidRDefault="00A665CD" w:rsidP="00A6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03857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A95E7B8" w14:textId="68FBB60D" w:rsidR="00141B00" w:rsidRPr="00685182" w:rsidRDefault="00141B00" w:rsidP="002C4000">
        <w:pPr>
          <w:pStyle w:val="Zpat"/>
          <w:jc w:val="center"/>
          <w:rPr>
            <w:sz w:val="22"/>
            <w:szCs w:val="22"/>
          </w:rPr>
        </w:pPr>
        <w:r w:rsidRPr="00685182">
          <w:rPr>
            <w:sz w:val="22"/>
            <w:szCs w:val="22"/>
          </w:rPr>
          <w:fldChar w:fldCharType="begin"/>
        </w:r>
        <w:r w:rsidRPr="00685182">
          <w:rPr>
            <w:sz w:val="22"/>
            <w:szCs w:val="22"/>
          </w:rPr>
          <w:instrText>PAGE   \* MERGEFORMAT</w:instrText>
        </w:r>
        <w:r w:rsidRPr="00685182">
          <w:rPr>
            <w:sz w:val="22"/>
            <w:szCs w:val="22"/>
          </w:rPr>
          <w:fldChar w:fldCharType="separate"/>
        </w:r>
        <w:r w:rsidRPr="00685182">
          <w:rPr>
            <w:sz w:val="22"/>
            <w:szCs w:val="22"/>
          </w:rPr>
          <w:t>2</w:t>
        </w:r>
        <w:r w:rsidRPr="00685182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533C" w14:textId="77777777" w:rsidR="00A665CD" w:rsidRDefault="00A665CD" w:rsidP="00A665CD">
      <w:pPr>
        <w:spacing w:after="0" w:line="240" w:lineRule="auto"/>
      </w:pPr>
      <w:r>
        <w:separator/>
      </w:r>
    </w:p>
  </w:footnote>
  <w:footnote w:type="continuationSeparator" w:id="0">
    <w:p w14:paraId="2C2845F7" w14:textId="77777777" w:rsidR="00A665CD" w:rsidRDefault="00A665CD" w:rsidP="00A6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D261" w14:textId="060D9467" w:rsidR="00A665CD" w:rsidRPr="0013452D" w:rsidRDefault="0013452D">
    <w:pPr>
      <w:pStyle w:val="Zhlav"/>
      <w:rPr>
        <w:sz w:val="22"/>
        <w:szCs w:val="22"/>
      </w:rPr>
    </w:pPr>
    <w:r>
      <w:rPr>
        <w:sz w:val="22"/>
        <w:szCs w:val="22"/>
      </w:rPr>
      <w:t xml:space="preserve">Příloha č. 1 – </w:t>
    </w:r>
    <w:r w:rsidR="00685182">
      <w:rPr>
        <w:sz w:val="22"/>
        <w:szCs w:val="22"/>
      </w:rPr>
      <w:t>Návrh</w:t>
    </w:r>
    <w:r>
      <w:rPr>
        <w:sz w:val="22"/>
        <w:szCs w:val="22"/>
      </w:rPr>
      <w:t xml:space="preserve"> </w:t>
    </w:r>
    <w:r w:rsidR="00685182">
      <w:rPr>
        <w:sz w:val="22"/>
        <w:szCs w:val="22"/>
      </w:rPr>
      <w:t>technického</w:t>
    </w:r>
    <w:r>
      <w:rPr>
        <w:sz w:val="22"/>
        <w:szCs w:val="22"/>
      </w:rPr>
      <w:t xml:space="preserve"> </w:t>
    </w:r>
    <w:r w:rsidR="00685182">
      <w:rPr>
        <w:sz w:val="22"/>
        <w:szCs w:val="22"/>
      </w:rPr>
      <w:t>zadání</w:t>
    </w:r>
    <w:r w:rsidR="00141B00">
      <w:rPr>
        <w:sz w:val="22"/>
        <w:szCs w:val="22"/>
      </w:rPr>
      <w:t xml:space="preserve"> 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EBA"/>
    <w:multiLevelType w:val="multilevel"/>
    <w:tmpl w:val="EBD4E86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E6114"/>
    <w:multiLevelType w:val="multilevel"/>
    <w:tmpl w:val="07D25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8139C4"/>
    <w:multiLevelType w:val="multilevel"/>
    <w:tmpl w:val="98708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4A4543"/>
    <w:multiLevelType w:val="multilevel"/>
    <w:tmpl w:val="DA56A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D45EB5"/>
    <w:multiLevelType w:val="multilevel"/>
    <w:tmpl w:val="3200A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5977A9"/>
    <w:multiLevelType w:val="multilevel"/>
    <w:tmpl w:val="C8AC0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F14B3F"/>
    <w:multiLevelType w:val="multilevel"/>
    <w:tmpl w:val="E7205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F6E1AE2"/>
    <w:multiLevelType w:val="multilevel"/>
    <w:tmpl w:val="12301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A270C11"/>
    <w:multiLevelType w:val="multilevel"/>
    <w:tmpl w:val="4B708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E976F6"/>
    <w:multiLevelType w:val="hybridMultilevel"/>
    <w:tmpl w:val="B4F6DCC6"/>
    <w:lvl w:ilvl="0" w:tplc="07A838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57E4"/>
    <w:multiLevelType w:val="multilevel"/>
    <w:tmpl w:val="3258A9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CBE4A0D"/>
    <w:multiLevelType w:val="multilevel"/>
    <w:tmpl w:val="20224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D741087"/>
    <w:multiLevelType w:val="multilevel"/>
    <w:tmpl w:val="A1BE888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1D963302"/>
    <w:multiLevelType w:val="multilevel"/>
    <w:tmpl w:val="46D6F9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1F525646"/>
    <w:multiLevelType w:val="multilevel"/>
    <w:tmpl w:val="F830F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F675A4A"/>
    <w:multiLevelType w:val="multilevel"/>
    <w:tmpl w:val="3822C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F7F04B6"/>
    <w:multiLevelType w:val="multilevel"/>
    <w:tmpl w:val="D4AC4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30124DF"/>
    <w:multiLevelType w:val="multilevel"/>
    <w:tmpl w:val="53A0B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7715C0B"/>
    <w:multiLevelType w:val="multilevel"/>
    <w:tmpl w:val="C5BC7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BA94070"/>
    <w:multiLevelType w:val="multilevel"/>
    <w:tmpl w:val="8A125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CD21FA6"/>
    <w:multiLevelType w:val="multilevel"/>
    <w:tmpl w:val="D15EA6C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4D027F"/>
    <w:multiLevelType w:val="multilevel"/>
    <w:tmpl w:val="BE9C1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2BB6F23"/>
    <w:multiLevelType w:val="multilevel"/>
    <w:tmpl w:val="D8A864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3AE578F"/>
    <w:multiLevelType w:val="multilevel"/>
    <w:tmpl w:val="999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5B1D7F"/>
    <w:multiLevelType w:val="multilevel"/>
    <w:tmpl w:val="70B69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D6F0756"/>
    <w:multiLevelType w:val="multilevel"/>
    <w:tmpl w:val="1CE49A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4C44507"/>
    <w:multiLevelType w:val="multilevel"/>
    <w:tmpl w:val="D3609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59C3401"/>
    <w:multiLevelType w:val="multilevel"/>
    <w:tmpl w:val="6AAEFE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460E89"/>
    <w:multiLevelType w:val="multilevel"/>
    <w:tmpl w:val="8DF2E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A904467"/>
    <w:multiLevelType w:val="multilevel"/>
    <w:tmpl w:val="E996BA6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CD17D8"/>
    <w:multiLevelType w:val="multilevel"/>
    <w:tmpl w:val="CC823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512D7A7A"/>
    <w:multiLevelType w:val="multilevel"/>
    <w:tmpl w:val="E826A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7617657"/>
    <w:multiLevelType w:val="multilevel"/>
    <w:tmpl w:val="59A20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8B97E9C"/>
    <w:multiLevelType w:val="multilevel"/>
    <w:tmpl w:val="03121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8D94D42"/>
    <w:multiLevelType w:val="multilevel"/>
    <w:tmpl w:val="42D0A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B6B5CFC"/>
    <w:multiLevelType w:val="multilevel"/>
    <w:tmpl w:val="CEA2B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5ED01065"/>
    <w:multiLevelType w:val="multilevel"/>
    <w:tmpl w:val="6CE40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1AD6F4B"/>
    <w:multiLevelType w:val="multilevel"/>
    <w:tmpl w:val="C7D02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2D3066E"/>
    <w:multiLevelType w:val="multilevel"/>
    <w:tmpl w:val="BCCE9FDC"/>
    <w:lvl w:ilvl="0">
      <w:start w:val="1"/>
      <w:numFmt w:val="decimal"/>
      <w:lvlText w:val="%1."/>
      <w:lvlJc w:val="left"/>
      <w:pPr>
        <w:ind w:left="720" w:hanging="360"/>
      </w:pPr>
      <w:rPr>
        <w:color w:val="2F549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4C76834"/>
    <w:multiLevelType w:val="multilevel"/>
    <w:tmpl w:val="E3E8C33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5970EBB"/>
    <w:multiLevelType w:val="multilevel"/>
    <w:tmpl w:val="AC7CA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8721977"/>
    <w:multiLevelType w:val="multilevel"/>
    <w:tmpl w:val="1DE42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A701402"/>
    <w:multiLevelType w:val="multilevel"/>
    <w:tmpl w:val="7EA29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E17DDC"/>
    <w:multiLevelType w:val="multilevel"/>
    <w:tmpl w:val="7F8EE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6AA2E01"/>
    <w:multiLevelType w:val="multilevel"/>
    <w:tmpl w:val="15408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83431A2"/>
    <w:multiLevelType w:val="multilevel"/>
    <w:tmpl w:val="92AA1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878785C"/>
    <w:multiLevelType w:val="multilevel"/>
    <w:tmpl w:val="584E0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8DF4500"/>
    <w:multiLevelType w:val="multilevel"/>
    <w:tmpl w:val="C3227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E205803"/>
    <w:multiLevelType w:val="multilevel"/>
    <w:tmpl w:val="4E8258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E820E9D"/>
    <w:multiLevelType w:val="multilevel"/>
    <w:tmpl w:val="A44C9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36753742">
    <w:abstractNumId w:val="17"/>
  </w:num>
  <w:num w:numId="2" w16cid:durableId="108671547">
    <w:abstractNumId w:val="49"/>
  </w:num>
  <w:num w:numId="3" w16cid:durableId="901599226">
    <w:abstractNumId w:val="38"/>
  </w:num>
  <w:num w:numId="4" w16cid:durableId="689647847">
    <w:abstractNumId w:val="46"/>
  </w:num>
  <w:num w:numId="5" w16cid:durableId="862475725">
    <w:abstractNumId w:val="12"/>
  </w:num>
  <w:num w:numId="6" w16cid:durableId="1954046748">
    <w:abstractNumId w:val="36"/>
  </w:num>
  <w:num w:numId="7" w16cid:durableId="785657957">
    <w:abstractNumId w:val="18"/>
  </w:num>
  <w:num w:numId="8" w16cid:durableId="688291799">
    <w:abstractNumId w:val="26"/>
  </w:num>
  <w:num w:numId="9" w16cid:durableId="311568962">
    <w:abstractNumId w:val="47"/>
  </w:num>
  <w:num w:numId="10" w16cid:durableId="403113913">
    <w:abstractNumId w:val="15"/>
  </w:num>
  <w:num w:numId="11" w16cid:durableId="354693373">
    <w:abstractNumId w:val="34"/>
  </w:num>
  <w:num w:numId="12" w16cid:durableId="1019314089">
    <w:abstractNumId w:val="14"/>
  </w:num>
  <w:num w:numId="13" w16cid:durableId="1386491952">
    <w:abstractNumId w:val="8"/>
  </w:num>
  <w:num w:numId="14" w16cid:durableId="407265894">
    <w:abstractNumId w:val="43"/>
  </w:num>
  <w:num w:numId="15" w16cid:durableId="2080512778">
    <w:abstractNumId w:val="40"/>
  </w:num>
  <w:num w:numId="16" w16cid:durableId="685640218">
    <w:abstractNumId w:val="31"/>
  </w:num>
  <w:num w:numId="17" w16cid:durableId="1244336317">
    <w:abstractNumId w:val="21"/>
  </w:num>
  <w:num w:numId="18" w16cid:durableId="570038663">
    <w:abstractNumId w:val="22"/>
  </w:num>
  <w:num w:numId="19" w16cid:durableId="851181857">
    <w:abstractNumId w:val="28"/>
  </w:num>
  <w:num w:numId="20" w16cid:durableId="1731536918">
    <w:abstractNumId w:val="4"/>
  </w:num>
  <w:num w:numId="21" w16cid:durableId="1737704121">
    <w:abstractNumId w:val="45"/>
  </w:num>
  <w:num w:numId="22" w16cid:durableId="1636832080">
    <w:abstractNumId w:val="37"/>
  </w:num>
  <w:num w:numId="23" w16cid:durableId="1910992780">
    <w:abstractNumId w:val="44"/>
  </w:num>
  <w:num w:numId="24" w16cid:durableId="568150810">
    <w:abstractNumId w:val="5"/>
  </w:num>
  <w:num w:numId="25" w16cid:durableId="1291522267">
    <w:abstractNumId w:val="24"/>
  </w:num>
  <w:num w:numId="26" w16cid:durableId="1174681908">
    <w:abstractNumId w:val="3"/>
  </w:num>
  <w:num w:numId="27" w16cid:durableId="1550527850">
    <w:abstractNumId w:val="33"/>
  </w:num>
  <w:num w:numId="28" w16cid:durableId="152332056">
    <w:abstractNumId w:val="6"/>
  </w:num>
  <w:num w:numId="29" w16cid:durableId="1262565957">
    <w:abstractNumId w:val="42"/>
  </w:num>
  <w:num w:numId="30" w16cid:durableId="1636787365">
    <w:abstractNumId w:val="13"/>
  </w:num>
  <w:num w:numId="31" w16cid:durableId="499388912">
    <w:abstractNumId w:val="30"/>
  </w:num>
  <w:num w:numId="32" w16cid:durableId="580336298">
    <w:abstractNumId w:val="0"/>
  </w:num>
  <w:num w:numId="33" w16cid:durableId="1461537071">
    <w:abstractNumId w:val="27"/>
  </w:num>
  <w:num w:numId="34" w16cid:durableId="2049331370">
    <w:abstractNumId w:val="35"/>
  </w:num>
  <w:num w:numId="35" w16cid:durableId="248151879">
    <w:abstractNumId w:val="48"/>
  </w:num>
  <w:num w:numId="36" w16cid:durableId="652216291">
    <w:abstractNumId w:val="20"/>
  </w:num>
  <w:num w:numId="37" w16cid:durableId="2068993835">
    <w:abstractNumId w:val="29"/>
  </w:num>
  <w:num w:numId="38" w16cid:durableId="1040858569">
    <w:abstractNumId w:val="39"/>
  </w:num>
  <w:num w:numId="39" w16cid:durableId="1086420997">
    <w:abstractNumId w:val="16"/>
  </w:num>
  <w:num w:numId="40" w16cid:durableId="297147898">
    <w:abstractNumId w:val="2"/>
  </w:num>
  <w:num w:numId="41" w16cid:durableId="1787575262">
    <w:abstractNumId w:val="19"/>
  </w:num>
  <w:num w:numId="42" w16cid:durableId="217938577">
    <w:abstractNumId w:val="10"/>
  </w:num>
  <w:num w:numId="43" w16cid:durableId="1501311455">
    <w:abstractNumId w:val="25"/>
  </w:num>
  <w:num w:numId="44" w16cid:durableId="1460535908">
    <w:abstractNumId w:val="1"/>
  </w:num>
  <w:num w:numId="45" w16cid:durableId="1706443680">
    <w:abstractNumId w:val="7"/>
  </w:num>
  <w:num w:numId="46" w16cid:durableId="1370884856">
    <w:abstractNumId w:val="11"/>
  </w:num>
  <w:num w:numId="47" w16cid:durableId="134952491">
    <w:abstractNumId w:val="32"/>
  </w:num>
  <w:num w:numId="48" w16cid:durableId="2106265013">
    <w:abstractNumId w:val="41"/>
  </w:num>
  <w:num w:numId="49" w16cid:durableId="720128261">
    <w:abstractNumId w:val="9"/>
  </w:num>
  <w:num w:numId="50" w16cid:durableId="2226390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9E"/>
    <w:rsid w:val="000C47D0"/>
    <w:rsid w:val="000C5926"/>
    <w:rsid w:val="000D38D9"/>
    <w:rsid w:val="00104F3B"/>
    <w:rsid w:val="00123DB5"/>
    <w:rsid w:val="0013452D"/>
    <w:rsid w:val="00141B00"/>
    <w:rsid w:val="001604BC"/>
    <w:rsid w:val="00166C7F"/>
    <w:rsid w:val="001E3596"/>
    <w:rsid w:val="001F3998"/>
    <w:rsid w:val="002331A6"/>
    <w:rsid w:val="00261AB9"/>
    <w:rsid w:val="002A4B69"/>
    <w:rsid w:val="002C4000"/>
    <w:rsid w:val="00323E9D"/>
    <w:rsid w:val="003323E7"/>
    <w:rsid w:val="00377102"/>
    <w:rsid w:val="004844EB"/>
    <w:rsid w:val="00490828"/>
    <w:rsid w:val="00493794"/>
    <w:rsid w:val="00497CC9"/>
    <w:rsid w:val="004F404F"/>
    <w:rsid w:val="00685182"/>
    <w:rsid w:val="00686CC4"/>
    <w:rsid w:val="006E0BD7"/>
    <w:rsid w:val="008110DC"/>
    <w:rsid w:val="00835C8C"/>
    <w:rsid w:val="008C1F33"/>
    <w:rsid w:val="00930540"/>
    <w:rsid w:val="00977096"/>
    <w:rsid w:val="00A0577E"/>
    <w:rsid w:val="00A476F1"/>
    <w:rsid w:val="00A665CD"/>
    <w:rsid w:val="00A845A2"/>
    <w:rsid w:val="00AA4591"/>
    <w:rsid w:val="00B123F5"/>
    <w:rsid w:val="00B365B6"/>
    <w:rsid w:val="00B5539E"/>
    <w:rsid w:val="00C47FE1"/>
    <w:rsid w:val="00DD4F84"/>
    <w:rsid w:val="00ED3909"/>
    <w:rsid w:val="00F6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8376B"/>
  <w15:docId w15:val="{0BC93D2E-9955-476A-B0D2-0B58B870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3998"/>
    <w:pPr>
      <w:keepNext/>
      <w:keepLines/>
      <w:spacing w:before="160" w:after="80"/>
      <w:outlineLvl w:val="1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7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7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C7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C7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7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7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7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C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7C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F3998"/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C7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7C75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75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75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75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75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759D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sid w:val="007C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95959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75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75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75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759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759D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6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5CD"/>
  </w:style>
  <w:style w:type="paragraph" w:styleId="Zpat">
    <w:name w:val="footer"/>
    <w:basedOn w:val="Normln"/>
    <w:link w:val="ZpatChar"/>
    <w:uiPriority w:val="99"/>
    <w:unhideWhenUsed/>
    <w:rsid w:val="00A6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V/x9tmzSUi1AC/QDn0pjPov5ig==">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15</Pages>
  <Words>3792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Jiří Mgr.</dc:creator>
  <cp:lastModifiedBy>Zeman Jiří Mgr.</cp:lastModifiedBy>
  <cp:revision>22</cp:revision>
  <cp:lastPrinted>2025-07-07T13:34:00Z</cp:lastPrinted>
  <dcterms:created xsi:type="dcterms:W3CDTF">2025-09-03T11:20:00Z</dcterms:created>
  <dcterms:modified xsi:type="dcterms:W3CDTF">2025-11-06T13:16:00Z</dcterms:modified>
</cp:coreProperties>
</file>