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1C2A8" w14:textId="77777777" w:rsidR="00016923" w:rsidRPr="005B0F26" w:rsidRDefault="00016923" w:rsidP="004D63E0">
      <w:pPr>
        <w:spacing w:line="240" w:lineRule="auto"/>
        <w:rPr>
          <w:b/>
          <w:bCs/>
        </w:rPr>
      </w:pPr>
      <w:r w:rsidRPr="005B0F26">
        <w:rPr>
          <w:b/>
        </w:rPr>
        <w:t>Introductory Provisions:</w:t>
      </w:r>
    </w:p>
    <w:p w14:paraId="10761DAE" w14:textId="77777777" w:rsidR="007A1D72" w:rsidRPr="005B0F26" w:rsidRDefault="007A1D72" w:rsidP="0080675B">
      <w:pPr>
        <w:jc w:val="both"/>
      </w:pPr>
      <w:r w:rsidRPr="005B0F26">
        <w:t>This Annex contains an indicative model calculation of the price of the public contract. The table below serves solely as a supporting document for determining the estimated value of the public contract and as an instrument for the structured indication of the tender price. Its purpose is not to restrict the Tenderer in the calculation of the tender price or in the breakdown into individual items. However, the Contracting Authority recommends that the Tenderer maintains a similar structure in order to ensure a clear and comparable evaluation of tenders.</w:t>
      </w:r>
    </w:p>
    <w:p w14:paraId="6F41FF4A" w14:textId="76B4C853" w:rsidR="0080675B" w:rsidRPr="005B0F26" w:rsidRDefault="0080675B" w:rsidP="0080675B">
      <w:pPr>
        <w:jc w:val="both"/>
      </w:pPr>
      <w:r w:rsidRPr="005B0F26">
        <w:t>The actual tender price must be clearly and transparently stated by the Tenderer in its tender in accordance with Section 16 of Act No. 134/2016 Coll., on Public Procurement, as amended, and shall be the main evaluation criterion in the procurement procedure.</w:t>
      </w:r>
    </w:p>
    <w:p w14:paraId="50D0D308" w14:textId="77777777" w:rsidR="00BE1A75" w:rsidRPr="005B0F26" w:rsidRDefault="00BE1A75" w:rsidP="00BE1A75">
      <w:pPr>
        <w:spacing w:after="240"/>
        <w:jc w:val="both"/>
      </w:pPr>
      <w:r w:rsidRPr="005B0F26">
        <w:t>The Contracting Authority sets a minimum guaranteed performance volume of 60% of the total tender price for the entire 48-month period in order to cover the necessary fixed costs of operation and Technical Support for the service. This guarantee shall only apply if the entire anticipated scope of licences or connectors provided is not used during performance.</w:t>
      </w:r>
    </w:p>
    <w:p w14:paraId="2F5A8B71" w14:textId="4FB43E8F" w:rsidR="0080675B" w:rsidRPr="005B0F26" w:rsidRDefault="0080675B" w:rsidP="0080675B">
      <w:pPr>
        <w:contextualSpacing/>
        <w:jc w:val="both"/>
      </w:pPr>
      <w:r w:rsidRPr="005B0F26">
        <w:t>The price of the data space service provided usually consists mainly of the following items:</w:t>
      </w:r>
    </w:p>
    <w:p w14:paraId="4C24EDF2" w14:textId="609586E4" w:rsidR="00016923" w:rsidRPr="005B0F26" w:rsidRDefault="00016923" w:rsidP="00DE746C">
      <w:pPr>
        <w:numPr>
          <w:ilvl w:val="0"/>
          <w:numId w:val="2"/>
        </w:numPr>
        <w:ind w:left="714" w:hanging="357"/>
        <w:contextualSpacing/>
        <w:jc w:val="both"/>
      </w:pPr>
      <w:r w:rsidRPr="005B0F26">
        <w:t>one-time fee for service implementation, commissioning, and administrator training</w:t>
      </w:r>
    </w:p>
    <w:p w14:paraId="3FC940F2" w14:textId="45F5F001" w:rsidR="00016923" w:rsidRPr="005B0F26" w:rsidRDefault="00016923" w:rsidP="00DE746C">
      <w:pPr>
        <w:numPr>
          <w:ilvl w:val="0"/>
          <w:numId w:val="2"/>
        </w:numPr>
        <w:ind w:left="714" w:hanging="357"/>
        <w:contextualSpacing/>
        <w:jc w:val="both"/>
      </w:pPr>
      <w:r w:rsidRPr="005B0F26">
        <w:t>regular fixed price for service operation, Technical Support, etc.</w:t>
      </w:r>
    </w:p>
    <w:p w14:paraId="26CD4A33" w14:textId="5575F522" w:rsidR="00016923" w:rsidRPr="005B0F26" w:rsidRDefault="00016923" w:rsidP="007E3416">
      <w:pPr>
        <w:numPr>
          <w:ilvl w:val="0"/>
          <w:numId w:val="2"/>
        </w:numPr>
        <w:spacing w:after="0"/>
        <w:jc w:val="both"/>
      </w:pPr>
      <w:r w:rsidRPr="005B0F26">
        <w:t>variable price depending on the number of connectors (taking into account the volume of data transferred and the number of transfers); the following connector structure is assumed:</w:t>
      </w:r>
      <w:r w:rsidR="008E2FD2" w:rsidRPr="005B0F26">
        <w:rPr>
          <w:rStyle w:val="Znakapoznpodarou"/>
        </w:rPr>
        <w:footnoteReference w:id="1"/>
      </w:r>
    </w:p>
    <w:p w14:paraId="36918038" w14:textId="5812AD3B" w:rsidR="006D197E" w:rsidRPr="005B0F26" w:rsidRDefault="001628AE" w:rsidP="006D197E">
      <w:pPr>
        <w:numPr>
          <w:ilvl w:val="1"/>
          <w:numId w:val="2"/>
        </w:numPr>
        <w:ind w:left="1434" w:hanging="357"/>
        <w:contextualSpacing/>
        <w:jc w:val="both"/>
      </w:pPr>
      <w:r w:rsidRPr="005B0F26">
        <w:t>Data space administrator licence</w:t>
      </w:r>
    </w:p>
    <w:p w14:paraId="38B00187" w14:textId="70A5D40F" w:rsidR="006D197E" w:rsidRPr="005B0F26" w:rsidRDefault="00B8269B" w:rsidP="006D197E">
      <w:pPr>
        <w:numPr>
          <w:ilvl w:val="1"/>
          <w:numId w:val="2"/>
        </w:numPr>
        <w:ind w:left="1434" w:hanging="357"/>
        <w:contextualSpacing/>
        <w:jc w:val="both"/>
      </w:pPr>
      <w:r w:rsidRPr="005B0F26">
        <w:t>Full user licence for standard connectors, where participants manage metadata for their own datasets, gain access to other participants’ datasets, enter into contracts with other participants, perform data transfers, search metadata, etc.</w:t>
      </w:r>
    </w:p>
    <w:p w14:paraId="00035E62" w14:textId="40E4C0E1" w:rsidR="00B8269B" w:rsidRPr="005B0F26" w:rsidRDefault="00B8269B" w:rsidP="00B8269B">
      <w:pPr>
        <w:numPr>
          <w:ilvl w:val="1"/>
          <w:numId w:val="2"/>
        </w:numPr>
        <w:spacing w:after="0"/>
        <w:jc w:val="both"/>
      </w:pPr>
      <w:r w:rsidRPr="005B0F26">
        <w:t>Limited user licence with clearly defined restrictions</w:t>
      </w:r>
    </w:p>
    <w:p w14:paraId="3D649B3B" w14:textId="49730711" w:rsidR="00B8269B" w:rsidRPr="005B0F26" w:rsidRDefault="00B8269B" w:rsidP="008C3ED2">
      <w:pPr>
        <w:numPr>
          <w:ilvl w:val="1"/>
          <w:numId w:val="2"/>
        </w:numPr>
        <w:spacing w:after="240"/>
        <w:ind w:left="1434" w:hanging="357"/>
        <w:jc w:val="both"/>
      </w:pPr>
      <w:r w:rsidRPr="005B0F26">
        <w:t>Any additional licences offered by the Contractor, if any</w:t>
      </w:r>
    </w:p>
    <w:tbl>
      <w:tblPr>
        <w:tblStyle w:val="Svtltabulkasmkou1"/>
        <w:tblW w:w="5000" w:type="pct"/>
        <w:tblLook w:val="04A0" w:firstRow="1" w:lastRow="0" w:firstColumn="1" w:lastColumn="0" w:noHBand="0" w:noVBand="1"/>
      </w:tblPr>
      <w:tblGrid>
        <w:gridCol w:w="6958"/>
        <w:gridCol w:w="2104"/>
      </w:tblGrid>
      <w:tr w:rsidR="00DB585F" w:rsidRPr="005B0F26" w14:paraId="139AF35D" w14:textId="77777777" w:rsidTr="004D63E0">
        <w:trPr>
          <w:cnfStyle w:val="100000000000" w:firstRow="1" w:lastRow="0" w:firstColumn="0" w:lastColumn="0" w:oddVBand="0" w:evenVBand="0" w:oddHBand="0"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3839" w:type="pct"/>
            <w:tcBorders>
              <w:bottom w:val="single" w:sz="12" w:space="0" w:color="auto"/>
            </w:tcBorders>
            <w:vAlign w:val="center"/>
            <w:hideMark/>
          </w:tcPr>
          <w:p w14:paraId="1BC243FA" w14:textId="77777777" w:rsidR="0021353F" w:rsidRPr="005B0F26" w:rsidRDefault="00DB585F" w:rsidP="004D63E0">
            <w:pPr>
              <w:spacing w:after="120" w:line="240" w:lineRule="auto"/>
              <w:contextualSpacing/>
              <w:rPr>
                <w:rFonts w:cstheme="minorHAnsi"/>
                <w:b w:val="0"/>
                <w:bCs w:val="0"/>
                <w:sz w:val="20"/>
                <w:szCs w:val="20"/>
              </w:rPr>
            </w:pPr>
            <w:r w:rsidRPr="005B0F26">
              <w:rPr>
                <w:sz w:val="20"/>
              </w:rPr>
              <w:t>Item</w:t>
            </w:r>
          </w:p>
          <w:p w14:paraId="2C494249" w14:textId="5F7161D0" w:rsidR="00DB585F" w:rsidRPr="005B0F26" w:rsidRDefault="00DB585F" w:rsidP="004D63E0">
            <w:pPr>
              <w:spacing w:after="120" w:line="240" w:lineRule="auto"/>
              <w:contextualSpacing/>
              <w:rPr>
                <w:rFonts w:cstheme="minorHAnsi"/>
                <w:sz w:val="20"/>
                <w:szCs w:val="20"/>
              </w:rPr>
            </w:pPr>
            <w:r w:rsidRPr="005B0F26">
              <w:rPr>
                <w:b w:val="0"/>
                <w:sz w:val="20"/>
              </w:rPr>
              <w:t>Description</w:t>
            </w:r>
            <w:r w:rsidRPr="005B0F26">
              <w:rPr>
                <w:rStyle w:val="Znakapoznpodarou"/>
                <w:rFonts w:cstheme="minorHAnsi"/>
                <w:b w:val="0"/>
                <w:bCs w:val="0"/>
                <w:sz w:val="20"/>
                <w:szCs w:val="20"/>
              </w:rPr>
              <w:footnoteReference w:id="2"/>
            </w:r>
          </w:p>
        </w:tc>
        <w:tc>
          <w:tcPr>
            <w:tcW w:w="1161" w:type="pct"/>
            <w:tcBorders>
              <w:bottom w:val="single" w:sz="12" w:space="0" w:color="auto"/>
            </w:tcBorders>
            <w:vAlign w:val="center"/>
            <w:hideMark/>
          </w:tcPr>
          <w:p w14:paraId="790093DE" w14:textId="77777777" w:rsidR="0021353F" w:rsidRPr="005B0F26" w:rsidRDefault="00DB585F" w:rsidP="004D63E0">
            <w:pPr>
              <w:spacing w:after="12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5B0F26">
              <w:rPr>
                <w:sz w:val="20"/>
              </w:rPr>
              <w:t>Price</w:t>
            </w:r>
          </w:p>
          <w:p w14:paraId="1180C1E4" w14:textId="26006A73" w:rsidR="00DB585F" w:rsidRPr="005B0F26" w:rsidRDefault="00DB585F" w:rsidP="004D63E0">
            <w:pPr>
              <w:spacing w:after="120" w:line="240" w:lineRule="auto"/>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rPr>
                <w:b w:val="0"/>
                <w:sz w:val="20"/>
              </w:rPr>
              <w:t>[excl. VAT]</w:t>
            </w:r>
            <w:r w:rsidRPr="005B0F26">
              <w:rPr>
                <w:rStyle w:val="Znakapoznpodarou"/>
                <w:rFonts w:cstheme="minorHAnsi"/>
                <w:b w:val="0"/>
                <w:bCs w:val="0"/>
                <w:sz w:val="20"/>
                <w:szCs w:val="20"/>
              </w:rPr>
              <w:footnoteReference w:id="3"/>
            </w:r>
          </w:p>
        </w:tc>
      </w:tr>
      <w:tr w:rsidR="007B2D68" w:rsidRPr="005B0F26" w14:paraId="7C7B2146" w14:textId="77777777" w:rsidTr="004D63E0">
        <w:trPr>
          <w:trHeight w:val="99"/>
        </w:trPr>
        <w:tc>
          <w:tcPr>
            <w:cnfStyle w:val="001000000000" w:firstRow="0" w:lastRow="0" w:firstColumn="1" w:lastColumn="0" w:oddVBand="0" w:evenVBand="0" w:oddHBand="0" w:evenHBand="0" w:firstRowFirstColumn="0" w:firstRowLastColumn="0" w:lastRowFirstColumn="0" w:lastRowLastColumn="0"/>
            <w:tcW w:w="5000" w:type="pct"/>
            <w:gridSpan w:val="2"/>
            <w:tcBorders>
              <w:top w:val="single" w:sz="12" w:space="0" w:color="auto"/>
            </w:tcBorders>
            <w:vAlign w:val="center"/>
          </w:tcPr>
          <w:p w14:paraId="5481392C" w14:textId="34B47749" w:rsidR="007B2D68" w:rsidRPr="005B0F26" w:rsidRDefault="007B2D68" w:rsidP="004D63E0">
            <w:pPr>
              <w:spacing w:before="120" w:after="120" w:line="240" w:lineRule="auto"/>
              <w:rPr>
                <w:rFonts w:cstheme="minorHAnsi"/>
                <w:b w:val="0"/>
                <w:bCs w:val="0"/>
                <w:sz w:val="20"/>
                <w:szCs w:val="20"/>
                <w:highlight w:val="yellow"/>
              </w:rPr>
            </w:pPr>
            <w:r w:rsidRPr="005B0F26">
              <w:rPr>
                <w:b w:val="0"/>
                <w:sz w:val="20"/>
              </w:rPr>
              <w:t>One-time fees</w:t>
            </w:r>
          </w:p>
        </w:tc>
      </w:tr>
      <w:tr w:rsidR="00DB585F" w:rsidRPr="005B0F26" w14:paraId="6147C96E" w14:textId="77777777" w:rsidTr="00DB585F">
        <w:tc>
          <w:tcPr>
            <w:cnfStyle w:val="001000000000" w:firstRow="0" w:lastRow="0" w:firstColumn="1" w:lastColumn="0" w:oddVBand="0" w:evenVBand="0" w:oddHBand="0" w:evenHBand="0" w:firstRowFirstColumn="0" w:firstRowLastColumn="0" w:lastRowFirstColumn="0" w:lastRowLastColumn="0"/>
            <w:tcW w:w="3839" w:type="pct"/>
            <w:hideMark/>
          </w:tcPr>
          <w:p w14:paraId="17BEA11C" w14:textId="77777777" w:rsidR="00EF30B1" w:rsidRPr="005B0F26" w:rsidRDefault="00DB585F" w:rsidP="004D63E0">
            <w:pPr>
              <w:spacing w:after="0" w:line="240" w:lineRule="auto"/>
              <w:rPr>
                <w:rFonts w:cstheme="minorHAnsi"/>
                <w:b w:val="0"/>
                <w:bCs w:val="0"/>
                <w:sz w:val="20"/>
                <w:szCs w:val="20"/>
              </w:rPr>
            </w:pPr>
            <w:r w:rsidRPr="005B0F26">
              <w:rPr>
                <w:sz w:val="20"/>
              </w:rPr>
              <w:t>1. Service implementation</w:t>
            </w:r>
          </w:p>
          <w:p w14:paraId="18273F8B" w14:textId="222C4779" w:rsidR="00DB585F" w:rsidRPr="005B0F26" w:rsidRDefault="00DB585F" w:rsidP="004D63E0">
            <w:pPr>
              <w:spacing w:after="0" w:line="240" w:lineRule="auto"/>
              <w:rPr>
                <w:rFonts w:cstheme="minorHAnsi"/>
                <w:sz w:val="20"/>
                <w:szCs w:val="20"/>
                <w:highlight w:val="yellow"/>
              </w:rPr>
            </w:pPr>
            <w:r w:rsidRPr="005B0F26">
              <w:rPr>
                <w:b w:val="0"/>
                <w:sz w:val="20"/>
              </w:rPr>
              <w:t>Implementation, configuration, training, etc.</w:t>
            </w:r>
          </w:p>
        </w:tc>
        <w:tc>
          <w:tcPr>
            <w:tcW w:w="1161" w:type="pct"/>
            <w:hideMark/>
          </w:tcPr>
          <w:p w14:paraId="34BD67E7" w14:textId="72C90065" w:rsidR="00DB585F" w:rsidRPr="005B0F26" w:rsidRDefault="00DB585F" w:rsidP="004D63E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B0F26">
              <w:rPr>
                <w:sz w:val="20"/>
                <w:highlight w:val="yellow"/>
              </w:rPr>
              <w:t>[…]</w:t>
            </w:r>
          </w:p>
        </w:tc>
      </w:tr>
      <w:tr w:rsidR="007B2D68" w:rsidRPr="005B0F26" w14:paraId="7C157685" w14:textId="77777777" w:rsidTr="007B2D68">
        <w:tc>
          <w:tcPr>
            <w:cnfStyle w:val="001000000000" w:firstRow="0" w:lastRow="0" w:firstColumn="1" w:lastColumn="0" w:oddVBand="0" w:evenVBand="0" w:oddHBand="0" w:evenHBand="0" w:firstRowFirstColumn="0" w:firstRowLastColumn="0" w:lastRowFirstColumn="0" w:lastRowLastColumn="0"/>
            <w:tcW w:w="5000" w:type="pct"/>
            <w:gridSpan w:val="2"/>
          </w:tcPr>
          <w:p w14:paraId="21C0CA16" w14:textId="2F75D9EB" w:rsidR="007B2D68" w:rsidRPr="005B0F26" w:rsidRDefault="00716B47" w:rsidP="004D63E0">
            <w:pPr>
              <w:spacing w:before="120" w:after="120" w:line="240" w:lineRule="auto"/>
              <w:rPr>
                <w:rFonts w:cstheme="minorHAnsi"/>
                <w:b w:val="0"/>
                <w:bCs w:val="0"/>
                <w:sz w:val="20"/>
                <w:szCs w:val="20"/>
              </w:rPr>
            </w:pPr>
            <w:r w:rsidRPr="005B0F26">
              <w:rPr>
                <w:b w:val="0"/>
                <w:sz w:val="20"/>
              </w:rPr>
              <w:t>Variable fees</w:t>
            </w:r>
          </w:p>
        </w:tc>
      </w:tr>
      <w:tr w:rsidR="00DB585F" w:rsidRPr="005B0F26" w14:paraId="09F29CE3" w14:textId="77777777" w:rsidTr="00DB585F">
        <w:tc>
          <w:tcPr>
            <w:cnfStyle w:val="001000000000" w:firstRow="0" w:lastRow="0" w:firstColumn="1" w:lastColumn="0" w:oddVBand="0" w:evenVBand="0" w:oddHBand="0" w:evenHBand="0" w:firstRowFirstColumn="0" w:firstRowLastColumn="0" w:lastRowFirstColumn="0" w:lastRowLastColumn="0"/>
            <w:tcW w:w="3839" w:type="pct"/>
            <w:hideMark/>
          </w:tcPr>
          <w:p w14:paraId="69236ECB" w14:textId="77777777" w:rsidR="00EF30B1" w:rsidRPr="005B0F26" w:rsidRDefault="00DB585F" w:rsidP="004D63E0">
            <w:pPr>
              <w:spacing w:after="0" w:line="240" w:lineRule="auto"/>
              <w:rPr>
                <w:rFonts w:cstheme="minorHAnsi"/>
                <w:b w:val="0"/>
                <w:bCs w:val="0"/>
                <w:sz w:val="20"/>
                <w:szCs w:val="20"/>
              </w:rPr>
            </w:pPr>
            <w:r w:rsidRPr="005B0F26">
              <w:rPr>
                <w:sz w:val="20"/>
              </w:rPr>
              <w:t>2. Fixed operating fee</w:t>
            </w:r>
          </w:p>
          <w:p w14:paraId="5C1D5550" w14:textId="3D650FFF" w:rsidR="00DB585F" w:rsidRPr="005B0F26" w:rsidRDefault="00DB585F" w:rsidP="004D63E0">
            <w:pPr>
              <w:spacing w:after="0" w:line="240" w:lineRule="auto"/>
              <w:rPr>
                <w:rFonts w:cstheme="minorHAnsi"/>
                <w:sz w:val="20"/>
                <w:szCs w:val="20"/>
                <w:highlight w:val="yellow"/>
              </w:rPr>
            </w:pPr>
            <w:r w:rsidRPr="005B0F26">
              <w:rPr>
                <w:b w:val="0"/>
                <w:sz w:val="20"/>
              </w:rPr>
              <w:t>Technical support beyond the scope of the data space administrator licence</w:t>
            </w:r>
          </w:p>
        </w:tc>
        <w:tc>
          <w:tcPr>
            <w:tcW w:w="1161" w:type="pct"/>
            <w:hideMark/>
          </w:tcPr>
          <w:p w14:paraId="6C5EBFD7" w14:textId="1FD6E19F" w:rsidR="00DB585F" w:rsidRPr="005B0F26" w:rsidRDefault="00DB585F" w:rsidP="004D63E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B0F26">
              <w:rPr>
                <w:sz w:val="20"/>
                <w:highlight w:val="yellow"/>
              </w:rPr>
              <w:t>[…]</w:t>
            </w:r>
          </w:p>
        </w:tc>
      </w:tr>
      <w:tr w:rsidR="00DB585F" w:rsidRPr="005B0F26" w14:paraId="457AB82E" w14:textId="77777777" w:rsidTr="00DB585F">
        <w:tc>
          <w:tcPr>
            <w:cnfStyle w:val="001000000000" w:firstRow="0" w:lastRow="0" w:firstColumn="1" w:lastColumn="0" w:oddVBand="0" w:evenVBand="0" w:oddHBand="0" w:evenHBand="0" w:firstRowFirstColumn="0" w:firstRowLastColumn="0" w:lastRowFirstColumn="0" w:lastRowLastColumn="0"/>
            <w:tcW w:w="3839" w:type="pct"/>
            <w:tcBorders>
              <w:bottom w:val="single" w:sz="12" w:space="0" w:color="auto"/>
            </w:tcBorders>
            <w:hideMark/>
          </w:tcPr>
          <w:p w14:paraId="29DDA505" w14:textId="77777777" w:rsidR="00EF30B1" w:rsidRPr="005B0F26" w:rsidRDefault="00DB585F" w:rsidP="004D63E0">
            <w:pPr>
              <w:spacing w:after="0" w:line="240" w:lineRule="auto"/>
              <w:rPr>
                <w:rFonts w:cstheme="minorHAnsi"/>
                <w:b w:val="0"/>
                <w:bCs w:val="0"/>
                <w:sz w:val="20"/>
                <w:szCs w:val="20"/>
              </w:rPr>
            </w:pPr>
            <w:r w:rsidRPr="005B0F26">
              <w:rPr>
                <w:sz w:val="20"/>
              </w:rPr>
              <w:t>3. Variable price of connectors</w:t>
            </w:r>
          </w:p>
          <w:p w14:paraId="7F8D7B45" w14:textId="30E3AFD7" w:rsidR="00DB585F" w:rsidRPr="005B0F26" w:rsidRDefault="00DB585F" w:rsidP="004D63E0">
            <w:pPr>
              <w:spacing w:after="0" w:line="240" w:lineRule="auto"/>
              <w:rPr>
                <w:rFonts w:cstheme="minorHAnsi"/>
                <w:sz w:val="20"/>
                <w:szCs w:val="20"/>
                <w:highlight w:val="yellow"/>
              </w:rPr>
            </w:pPr>
            <w:r w:rsidRPr="005B0F26">
              <w:rPr>
                <w:b w:val="0"/>
                <w:sz w:val="20"/>
              </w:rPr>
              <w:t>Individual user licences (see Table 4)</w:t>
            </w:r>
          </w:p>
        </w:tc>
        <w:tc>
          <w:tcPr>
            <w:tcW w:w="1161" w:type="pct"/>
            <w:tcBorders>
              <w:bottom w:val="single" w:sz="12" w:space="0" w:color="auto"/>
            </w:tcBorders>
            <w:hideMark/>
          </w:tcPr>
          <w:p w14:paraId="71BEF2EF" w14:textId="3D67B8F2" w:rsidR="00DB585F" w:rsidRPr="005B0F26" w:rsidRDefault="00DB585F" w:rsidP="004D63E0">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20"/>
                <w:szCs w:val="20"/>
                <w:highlight w:val="yellow"/>
              </w:rPr>
            </w:pPr>
            <w:r w:rsidRPr="005B0F26">
              <w:rPr>
                <w:sz w:val="20"/>
                <w:highlight w:val="yellow"/>
              </w:rPr>
              <w:t>[…]</w:t>
            </w:r>
          </w:p>
        </w:tc>
      </w:tr>
      <w:tr w:rsidR="00DB585F" w:rsidRPr="005B0F26" w14:paraId="798C5D07" w14:textId="77777777" w:rsidTr="00DB585F">
        <w:tc>
          <w:tcPr>
            <w:cnfStyle w:val="001000000000" w:firstRow="0" w:lastRow="0" w:firstColumn="1" w:lastColumn="0" w:oddVBand="0" w:evenVBand="0" w:oddHBand="0" w:evenHBand="0" w:firstRowFirstColumn="0" w:firstRowLastColumn="0" w:lastRowFirstColumn="0" w:lastRowLastColumn="0"/>
            <w:tcW w:w="3839" w:type="pct"/>
            <w:tcBorders>
              <w:top w:val="single" w:sz="12" w:space="0" w:color="auto"/>
            </w:tcBorders>
            <w:vAlign w:val="center"/>
          </w:tcPr>
          <w:p w14:paraId="19395531" w14:textId="5591EF2A" w:rsidR="00DB585F" w:rsidRPr="005B0F26" w:rsidRDefault="00DB585F" w:rsidP="004D63E0">
            <w:pPr>
              <w:spacing w:before="120" w:after="120" w:line="240" w:lineRule="auto"/>
              <w:rPr>
                <w:rFonts w:cstheme="minorHAnsi"/>
                <w:b w:val="0"/>
                <w:bCs w:val="0"/>
                <w:sz w:val="20"/>
                <w:szCs w:val="20"/>
              </w:rPr>
            </w:pPr>
            <w:r w:rsidRPr="005B0F26">
              <w:rPr>
                <w:sz w:val="20"/>
              </w:rPr>
              <w:t>Total price:</w:t>
            </w:r>
          </w:p>
        </w:tc>
        <w:tc>
          <w:tcPr>
            <w:tcW w:w="1161" w:type="pct"/>
            <w:tcBorders>
              <w:top w:val="single" w:sz="12" w:space="0" w:color="auto"/>
            </w:tcBorders>
          </w:tcPr>
          <w:p w14:paraId="4785F81D" w14:textId="5C9FE626" w:rsidR="00DB585F" w:rsidRPr="005B0F26" w:rsidRDefault="00DB585F" w:rsidP="004D63E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b/>
                <w:bCs/>
                <w:sz w:val="20"/>
                <w:szCs w:val="20"/>
              </w:rPr>
            </w:pPr>
            <w:r w:rsidRPr="005B0F26">
              <w:rPr>
                <w:b/>
                <w:sz w:val="20"/>
                <w:highlight w:val="yellow"/>
              </w:rPr>
              <w:t>[…]</w:t>
            </w:r>
          </w:p>
        </w:tc>
      </w:tr>
    </w:tbl>
    <w:p w14:paraId="094C5B27" w14:textId="266A406A" w:rsidR="007E3416" w:rsidRPr="005B0F26" w:rsidRDefault="007E3416" w:rsidP="008C3ED2">
      <w:r w:rsidRPr="005B0F26">
        <w:t>Table 1: Price summary of the submitted tender.</w:t>
      </w:r>
      <w:r w:rsidRPr="005B0F26">
        <w:br w:type="page"/>
      </w:r>
    </w:p>
    <w:tbl>
      <w:tblPr>
        <w:tblStyle w:val="Svtltabulkasmkou1"/>
        <w:tblW w:w="5002" w:type="pct"/>
        <w:tblLook w:val="04A0" w:firstRow="1" w:lastRow="0" w:firstColumn="1" w:lastColumn="0" w:noHBand="0" w:noVBand="1"/>
      </w:tblPr>
      <w:tblGrid>
        <w:gridCol w:w="6961"/>
        <w:gridCol w:w="2105"/>
      </w:tblGrid>
      <w:tr w:rsidR="00C903C2" w:rsidRPr="005B0F26" w14:paraId="47E54509" w14:textId="77777777" w:rsidTr="00C90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pct"/>
            <w:tcBorders>
              <w:bottom w:val="single" w:sz="12" w:space="0" w:color="auto"/>
            </w:tcBorders>
            <w:vAlign w:val="center"/>
            <w:hideMark/>
          </w:tcPr>
          <w:p w14:paraId="3EB46413" w14:textId="347AB507" w:rsidR="00C903C2" w:rsidRPr="005B0F26" w:rsidRDefault="00C903C2" w:rsidP="00983C71">
            <w:pPr>
              <w:spacing w:after="120"/>
              <w:contextualSpacing/>
              <w:rPr>
                <w:rFonts w:cstheme="minorHAnsi"/>
                <w:sz w:val="20"/>
                <w:szCs w:val="20"/>
              </w:rPr>
            </w:pPr>
            <w:r w:rsidRPr="005B0F26">
              <w:rPr>
                <w:sz w:val="20"/>
              </w:rPr>
              <w:lastRenderedPageBreak/>
              <w:t>One-time fees</w:t>
            </w:r>
            <w:r w:rsidRPr="005B0F26">
              <w:rPr>
                <w:sz w:val="20"/>
              </w:rPr>
              <w:br/>
              <w:t>Description</w:t>
            </w:r>
          </w:p>
        </w:tc>
        <w:tc>
          <w:tcPr>
            <w:tcW w:w="1161" w:type="pct"/>
            <w:tcBorders>
              <w:bottom w:val="single" w:sz="12" w:space="0" w:color="auto"/>
            </w:tcBorders>
            <w:vAlign w:val="center"/>
            <w:hideMark/>
          </w:tcPr>
          <w:p w14:paraId="296FFA62" w14:textId="0582E1E1" w:rsidR="00C903C2" w:rsidRPr="005B0F26" w:rsidRDefault="00C903C2" w:rsidP="00983C7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rPr>
                <w:sz w:val="20"/>
              </w:rPr>
              <w:t>Price excl. VAT</w:t>
            </w:r>
          </w:p>
        </w:tc>
      </w:tr>
      <w:tr w:rsidR="00C903C2" w:rsidRPr="005B0F26" w14:paraId="2D2994AB" w14:textId="77777777" w:rsidTr="00C903C2">
        <w:tc>
          <w:tcPr>
            <w:cnfStyle w:val="001000000000" w:firstRow="0" w:lastRow="0" w:firstColumn="1" w:lastColumn="0" w:oddVBand="0" w:evenVBand="0" w:oddHBand="0" w:evenHBand="0" w:firstRowFirstColumn="0" w:firstRowLastColumn="0" w:lastRowFirstColumn="0" w:lastRowLastColumn="0"/>
            <w:tcW w:w="3839" w:type="pct"/>
            <w:tcBorders>
              <w:top w:val="single" w:sz="12" w:space="0" w:color="auto"/>
            </w:tcBorders>
            <w:hideMark/>
          </w:tcPr>
          <w:p w14:paraId="24367398" w14:textId="3D6AAD0D" w:rsidR="00C903C2" w:rsidRPr="005B0F26" w:rsidRDefault="00C903C2" w:rsidP="006D2FE3">
            <w:pPr>
              <w:spacing w:before="120"/>
              <w:rPr>
                <w:rFonts w:cstheme="minorHAnsi"/>
                <w:sz w:val="20"/>
                <w:szCs w:val="20"/>
                <w:highlight w:val="cyan"/>
              </w:rPr>
            </w:pPr>
            <w:r w:rsidRPr="005B0F26">
              <w:rPr>
                <w:sz w:val="20"/>
                <w:highlight w:val="cyan"/>
              </w:rPr>
              <w:t>[…]</w:t>
            </w:r>
          </w:p>
        </w:tc>
        <w:tc>
          <w:tcPr>
            <w:tcW w:w="1161" w:type="pct"/>
            <w:tcBorders>
              <w:top w:val="single" w:sz="12" w:space="0" w:color="auto"/>
            </w:tcBorders>
            <w:hideMark/>
          </w:tcPr>
          <w:p w14:paraId="57FD5819" w14:textId="77777777" w:rsidR="00C903C2" w:rsidRPr="005B0F26" w:rsidRDefault="00C903C2"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cyan"/>
              </w:rPr>
            </w:pPr>
            <w:r w:rsidRPr="005B0F26">
              <w:rPr>
                <w:sz w:val="20"/>
                <w:highlight w:val="cyan"/>
              </w:rPr>
              <w:t>[…]</w:t>
            </w:r>
          </w:p>
        </w:tc>
      </w:tr>
      <w:tr w:rsidR="00C903C2" w:rsidRPr="005B0F26" w14:paraId="4D21AAEB" w14:textId="77777777" w:rsidTr="00C903C2">
        <w:tc>
          <w:tcPr>
            <w:cnfStyle w:val="001000000000" w:firstRow="0" w:lastRow="0" w:firstColumn="1" w:lastColumn="0" w:oddVBand="0" w:evenVBand="0" w:oddHBand="0" w:evenHBand="0" w:firstRowFirstColumn="0" w:firstRowLastColumn="0" w:lastRowFirstColumn="0" w:lastRowLastColumn="0"/>
            <w:tcW w:w="3839" w:type="pct"/>
            <w:hideMark/>
          </w:tcPr>
          <w:p w14:paraId="43A580D0" w14:textId="772C4CED" w:rsidR="00C903C2" w:rsidRPr="005B0F26" w:rsidRDefault="00C903C2" w:rsidP="006D2FE3">
            <w:pPr>
              <w:spacing w:before="120"/>
              <w:rPr>
                <w:rFonts w:cstheme="minorHAnsi"/>
                <w:sz w:val="20"/>
                <w:szCs w:val="20"/>
                <w:highlight w:val="cyan"/>
              </w:rPr>
            </w:pPr>
            <w:r w:rsidRPr="005B0F26">
              <w:rPr>
                <w:sz w:val="20"/>
                <w:highlight w:val="cyan"/>
              </w:rPr>
              <w:t>[…]</w:t>
            </w:r>
          </w:p>
        </w:tc>
        <w:tc>
          <w:tcPr>
            <w:tcW w:w="1161" w:type="pct"/>
            <w:hideMark/>
          </w:tcPr>
          <w:p w14:paraId="3F4B7704" w14:textId="77777777" w:rsidR="00C903C2" w:rsidRPr="005B0F26" w:rsidRDefault="00C903C2"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cyan"/>
              </w:rPr>
            </w:pPr>
            <w:r w:rsidRPr="005B0F26">
              <w:rPr>
                <w:sz w:val="20"/>
                <w:highlight w:val="cyan"/>
              </w:rPr>
              <w:t>[…]</w:t>
            </w:r>
          </w:p>
        </w:tc>
      </w:tr>
      <w:tr w:rsidR="00C903C2" w:rsidRPr="005B0F26" w14:paraId="4989A1A6" w14:textId="77777777" w:rsidTr="00C903C2">
        <w:tc>
          <w:tcPr>
            <w:cnfStyle w:val="001000000000" w:firstRow="0" w:lastRow="0" w:firstColumn="1" w:lastColumn="0" w:oddVBand="0" w:evenVBand="0" w:oddHBand="0" w:evenHBand="0" w:firstRowFirstColumn="0" w:firstRowLastColumn="0" w:lastRowFirstColumn="0" w:lastRowLastColumn="0"/>
            <w:tcW w:w="3839" w:type="pct"/>
            <w:hideMark/>
          </w:tcPr>
          <w:p w14:paraId="3F6721F1" w14:textId="0EB389B4" w:rsidR="00C903C2" w:rsidRPr="005B0F26" w:rsidRDefault="00C903C2" w:rsidP="006D2FE3">
            <w:pPr>
              <w:spacing w:before="120"/>
              <w:rPr>
                <w:rFonts w:cstheme="minorHAnsi"/>
                <w:sz w:val="20"/>
                <w:szCs w:val="20"/>
                <w:highlight w:val="cyan"/>
              </w:rPr>
            </w:pPr>
            <w:r w:rsidRPr="005B0F26">
              <w:rPr>
                <w:sz w:val="20"/>
                <w:highlight w:val="cyan"/>
              </w:rPr>
              <w:t>[…]</w:t>
            </w:r>
          </w:p>
        </w:tc>
        <w:tc>
          <w:tcPr>
            <w:tcW w:w="1161" w:type="pct"/>
            <w:hideMark/>
          </w:tcPr>
          <w:p w14:paraId="728DEB52" w14:textId="77777777" w:rsidR="00C903C2" w:rsidRPr="005B0F26" w:rsidRDefault="00C903C2"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cyan"/>
              </w:rPr>
            </w:pPr>
            <w:r w:rsidRPr="005B0F26">
              <w:rPr>
                <w:sz w:val="20"/>
                <w:highlight w:val="cyan"/>
              </w:rPr>
              <w:t>[…]</w:t>
            </w:r>
          </w:p>
        </w:tc>
      </w:tr>
      <w:tr w:rsidR="00C903C2" w:rsidRPr="005B0F26" w14:paraId="4978D9CD" w14:textId="77777777" w:rsidTr="00C903C2">
        <w:tc>
          <w:tcPr>
            <w:cnfStyle w:val="001000000000" w:firstRow="0" w:lastRow="0" w:firstColumn="1" w:lastColumn="0" w:oddVBand="0" w:evenVBand="0" w:oddHBand="0" w:evenHBand="0" w:firstRowFirstColumn="0" w:firstRowLastColumn="0" w:lastRowFirstColumn="0" w:lastRowLastColumn="0"/>
            <w:tcW w:w="3839" w:type="pct"/>
            <w:tcBorders>
              <w:top w:val="single" w:sz="12" w:space="0" w:color="auto"/>
            </w:tcBorders>
            <w:vAlign w:val="center"/>
          </w:tcPr>
          <w:p w14:paraId="34072AB1" w14:textId="58CD5648" w:rsidR="00C903C2" w:rsidRPr="005B0F26" w:rsidRDefault="00C903C2" w:rsidP="00983C71">
            <w:pPr>
              <w:spacing w:before="120" w:after="120"/>
              <w:rPr>
                <w:rFonts w:cstheme="minorHAnsi"/>
                <w:sz w:val="20"/>
                <w:szCs w:val="20"/>
                <w:highlight w:val="cyan"/>
              </w:rPr>
            </w:pPr>
            <w:r w:rsidRPr="005B0F26">
              <w:rPr>
                <w:sz w:val="20"/>
              </w:rPr>
              <w:t>Total</w:t>
            </w:r>
          </w:p>
        </w:tc>
        <w:tc>
          <w:tcPr>
            <w:tcW w:w="1161" w:type="pct"/>
            <w:tcBorders>
              <w:top w:val="single" w:sz="12" w:space="0" w:color="auto"/>
            </w:tcBorders>
          </w:tcPr>
          <w:p w14:paraId="11FD9CE6" w14:textId="77777777" w:rsidR="00C903C2" w:rsidRPr="005B0F26" w:rsidRDefault="00C903C2" w:rsidP="00983C71">
            <w:pPr>
              <w:spacing w:before="120" w:after="120"/>
              <w:cnfStyle w:val="000000000000" w:firstRow="0" w:lastRow="0" w:firstColumn="0" w:lastColumn="0" w:oddVBand="0" w:evenVBand="0" w:oddHBand="0" w:evenHBand="0" w:firstRowFirstColumn="0" w:firstRowLastColumn="0" w:lastRowFirstColumn="0" w:lastRowLastColumn="0"/>
              <w:rPr>
                <w:rFonts w:cstheme="minorHAnsi"/>
                <w:b/>
                <w:bCs/>
                <w:sz w:val="20"/>
                <w:szCs w:val="20"/>
                <w:highlight w:val="cyan"/>
              </w:rPr>
            </w:pPr>
            <w:r w:rsidRPr="005B0F26">
              <w:rPr>
                <w:sz w:val="20"/>
                <w:highlight w:val="cyan"/>
              </w:rPr>
              <w:t>[…]</w:t>
            </w:r>
          </w:p>
        </w:tc>
      </w:tr>
    </w:tbl>
    <w:p w14:paraId="4AC0ED5B" w14:textId="5489F728" w:rsidR="006D2FE3" w:rsidRPr="005B0F26" w:rsidRDefault="007E3416" w:rsidP="00016923">
      <w:r w:rsidRPr="005B0F26">
        <w:t>Table 2: More detailed list of one-time fees for services provided.</w:t>
      </w:r>
      <w:r w:rsidRPr="005B0F26">
        <w:br/>
      </w:r>
    </w:p>
    <w:tbl>
      <w:tblPr>
        <w:tblStyle w:val="Svtltabulkasmkou1"/>
        <w:tblW w:w="5002" w:type="pct"/>
        <w:tblLook w:val="04A0" w:firstRow="1" w:lastRow="0" w:firstColumn="1" w:lastColumn="0" w:noHBand="0" w:noVBand="1"/>
      </w:tblPr>
      <w:tblGrid>
        <w:gridCol w:w="6961"/>
        <w:gridCol w:w="2105"/>
      </w:tblGrid>
      <w:tr w:rsidR="006D2FE3" w:rsidRPr="005B0F26" w14:paraId="3C49459C" w14:textId="77777777" w:rsidTr="006D2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39" w:type="pct"/>
            <w:tcBorders>
              <w:bottom w:val="single" w:sz="12" w:space="0" w:color="auto"/>
            </w:tcBorders>
            <w:vAlign w:val="center"/>
            <w:hideMark/>
          </w:tcPr>
          <w:p w14:paraId="22EC25F8" w14:textId="77777777" w:rsidR="00AE50B5" w:rsidRPr="005B0F26" w:rsidRDefault="006D2FE3" w:rsidP="00983C71">
            <w:pPr>
              <w:spacing w:after="120"/>
              <w:contextualSpacing/>
              <w:rPr>
                <w:rFonts w:cstheme="minorHAnsi"/>
                <w:b w:val="0"/>
                <w:bCs w:val="0"/>
                <w:sz w:val="20"/>
                <w:szCs w:val="20"/>
              </w:rPr>
            </w:pPr>
            <w:r w:rsidRPr="005B0F26">
              <w:rPr>
                <w:sz w:val="20"/>
              </w:rPr>
              <w:t>Regular fixed fees</w:t>
            </w:r>
          </w:p>
          <w:p w14:paraId="33AC4CF2" w14:textId="262CE223" w:rsidR="006D2FE3" w:rsidRPr="005B0F26" w:rsidRDefault="006D2FE3" w:rsidP="00983C71">
            <w:pPr>
              <w:spacing w:after="120"/>
              <w:contextualSpacing/>
              <w:rPr>
                <w:rFonts w:cstheme="minorHAnsi"/>
                <w:sz w:val="20"/>
                <w:szCs w:val="20"/>
              </w:rPr>
            </w:pPr>
            <w:r w:rsidRPr="005B0F26">
              <w:rPr>
                <w:b w:val="0"/>
                <w:sz w:val="20"/>
              </w:rPr>
              <w:t>Description</w:t>
            </w:r>
          </w:p>
        </w:tc>
        <w:tc>
          <w:tcPr>
            <w:tcW w:w="1161" w:type="pct"/>
            <w:tcBorders>
              <w:bottom w:val="single" w:sz="12" w:space="0" w:color="auto"/>
            </w:tcBorders>
            <w:vAlign w:val="center"/>
            <w:hideMark/>
          </w:tcPr>
          <w:p w14:paraId="74109C4E" w14:textId="1AC2F149" w:rsidR="006D2FE3" w:rsidRPr="005B0F26" w:rsidRDefault="006D2FE3" w:rsidP="00983C7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rPr>
                <w:sz w:val="20"/>
              </w:rPr>
              <w:t>Price excl. VAT</w:t>
            </w:r>
          </w:p>
        </w:tc>
      </w:tr>
      <w:tr w:rsidR="006D2FE3" w:rsidRPr="005B0F26" w14:paraId="796CD6C2" w14:textId="77777777" w:rsidTr="006D2FE3">
        <w:tc>
          <w:tcPr>
            <w:cnfStyle w:val="001000000000" w:firstRow="0" w:lastRow="0" w:firstColumn="1" w:lastColumn="0" w:oddVBand="0" w:evenVBand="0" w:oddHBand="0" w:evenHBand="0" w:firstRowFirstColumn="0" w:firstRowLastColumn="0" w:lastRowFirstColumn="0" w:lastRowLastColumn="0"/>
            <w:tcW w:w="3839" w:type="pct"/>
            <w:tcBorders>
              <w:top w:val="single" w:sz="12" w:space="0" w:color="auto"/>
            </w:tcBorders>
            <w:vAlign w:val="center"/>
            <w:hideMark/>
          </w:tcPr>
          <w:p w14:paraId="0EB46625" w14:textId="68BF046C" w:rsidR="006D2FE3" w:rsidRPr="005B0F26" w:rsidRDefault="006D2FE3" w:rsidP="006D2FE3">
            <w:pPr>
              <w:spacing w:before="120"/>
              <w:rPr>
                <w:rFonts w:cstheme="minorHAnsi"/>
                <w:sz w:val="20"/>
                <w:szCs w:val="20"/>
                <w:highlight w:val="green"/>
              </w:rPr>
            </w:pPr>
            <w:r w:rsidRPr="005B0F26">
              <w:rPr>
                <w:sz w:val="20"/>
                <w:highlight w:val="green"/>
              </w:rPr>
              <w:t>[…]</w:t>
            </w:r>
          </w:p>
        </w:tc>
        <w:tc>
          <w:tcPr>
            <w:tcW w:w="1161" w:type="pct"/>
            <w:tcBorders>
              <w:top w:val="single" w:sz="12" w:space="0" w:color="auto"/>
            </w:tcBorders>
            <w:vAlign w:val="center"/>
            <w:hideMark/>
          </w:tcPr>
          <w:p w14:paraId="39BF42A7" w14:textId="77777777" w:rsidR="006D2FE3" w:rsidRPr="005B0F26" w:rsidRDefault="006D2FE3"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green"/>
              </w:rPr>
            </w:pPr>
            <w:r w:rsidRPr="005B0F26">
              <w:rPr>
                <w:sz w:val="20"/>
                <w:highlight w:val="green"/>
              </w:rPr>
              <w:t>[…]</w:t>
            </w:r>
          </w:p>
        </w:tc>
      </w:tr>
      <w:tr w:rsidR="006D2FE3" w:rsidRPr="005B0F26" w14:paraId="19FCA609" w14:textId="77777777" w:rsidTr="006D2FE3">
        <w:tc>
          <w:tcPr>
            <w:cnfStyle w:val="001000000000" w:firstRow="0" w:lastRow="0" w:firstColumn="1" w:lastColumn="0" w:oddVBand="0" w:evenVBand="0" w:oddHBand="0" w:evenHBand="0" w:firstRowFirstColumn="0" w:firstRowLastColumn="0" w:lastRowFirstColumn="0" w:lastRowLastColumn="0"/>
            <w:tcW w:w="3839" w:type="pct"/>
            <w:vAlign w:val="center"/>
            <w:hideMark/>
          </w:tcPr>
          <w:p w14:paraId="4C416600" w14:textId="1222E7AD" w:rsidR="006D2FE3" w:rsidRPr="005B0F26" w:rsidRDefault="006D2FE3" w:rsidP="006D2FE3">
            <w:pPr>
              <w:spacing w:before="120"/>
              <w:rPr>
                <w:rFonts w:cstheme="minorHAnsi"/>
                <w:sz w:val="20"/>
                <w:szCs w:val="20"/>
                <w:highlight w:val="green"/>
              </w:rPr>
            </w:pPr>
            <w:r w:rsidRPr="005B0F26">
              <w:rPr>
                <w:sz w:val="20"/>
                <w:highlight w:val="green"/>
              </w:rPr>
              <w:t>[…]</w:t>
            </w:r>
          </w:p>
        </w:tc>
        <w:tc>
          <w:tcPr>
            <w:tcW w:w="1161" w:type="pct"/>
            <w:vAlign w:val="center"/>
            <w:hideMark/>
          </w:tcPr>
          <w:p w14:paraId="03F2F063" w14:textId="77777777" w:rsidR="006D2FE3" w:rsidRPr="005B0F26" w:rsidRDefault="006D2FE3"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green"/>
              </w:rPr>
            </w:pPr>
            <w:r w:rsidRPr="005B0F26">
              <w:rPr>
                <w:sz w:val="20"/>
                <w:highlight w:val="green"/>
              </w:rPr>
              <w:t>[…]</w:t>
            </w:r>
          </w:p>
        </w:tc>
      </w:tr>
      <w:tr w:rsidR="006D2FE3" w:rsidRPr="005B0F26" w14:paraId="00DAEDDB" w14:textId="77777777" w:rsidTr="006D2FE3">
        <w:tc>
          <w:tcPr>
            <w:cnfStyle w:val="001000000000" w:firstRow="0" w:lastRow="0" w:firstColumn="1" w:lastColumn="0" w:oddVBand="0" w:evenVBand="0" w:oddHBand="0" w:evenHBand="0" w:firstRowFirstColumn="0" w:firstRowLastColumn="0" w:lastRowFirstColumn="0" w:lastRowLastColumn="0"/>
            <w:tcW w:w="3839" w:type="pct"/>
            <w:vAlign w:val="center"/>
            <w:hideMark/>
          </w:tcPr>
          <w:p w14:paraId="16EAFE4B" w14:textId="1943C112" w:rsidR="006D2FE3" w:rsidRPr="005B0F26" w:rsidRDefault="006D2FE3" w:rsidP="006D2FE3">
            <w:pPr>
              <w:spacing w:before="120"/>
              <w:rPr>
                <w:rFonts w:cstheme="minorHAnsi"/>
                <w:sz w:val="20"/>
                <w:szCs w:val="20"/>
                <w:highlight w:val="green"/>
              </w:rPr>
            </w:pPr>
            <w:r w:rsidRPr="005B0F26">
              <w:rPr>
                <w:sz w:val="20"/>
                <w:highlight w:val="green"/>
              </w:rPr>
              <w:t>[…]</w:t>
            </w:r>
          </w:p>
        </w:tc>
        <w:tc>
          <w:tcPr>
            <w:tcW w:w="1161" w:type="pct"/>
            <w:vAlign w:val="center"/>
            <w:hideMark/>
          </w:tcPr>
          <w:p w14:paraId="502A4662" w14:textId="77777777" w:rsidR="006D2FE3" w:rsidRPr="005B0F26" w:rsidRDefault="006D2FE3" w:rsidP="006D2FE3">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green"/>
              </w:rPr>
            </w:pPr>
            <w:r w:rsidRPr="005B0F26">
              <w:rPr>
                <w:sz w:val="20"/>
                <w:highlight w:val="green"/>
              </w:rPr>
              <w:t>[…]</w:t>
            </w:r>
          </w:p>
        </w:tc>
      </w:tr>
      <w:tr w:rsidR="006D2FE3" w:rsidRPr="005B0F26" w14:paraId="3E0C99FA" w14:textId="77777777" w:rsidTr="006D2FE3">
        <w:tc>
          <w:tcPr>
            <w:cnfStyle w:val="001000000000" w:firstRow="0" w:lastRow="0" w:firstColumn="1" w:lastColumn="0" w:oddVBand="0" w:evenVBand="0" w:oddHBand="0" w:evenHBand="0" w:firstRowFirstColumn="0" w:firstRowLastColumn="0" w:lastRowFirstColumn="0" w:lastRowLastColumn="0"/>
            <w:tcW w:w="3839" w:type="pct"/>
            <w:tcBorders>
              <w:top w:val="single" w:sz="12" w:space="0" w:color="auto"/>
            </w:tcBorders>
            <w:vAlign w:val="center"/>
          </w:tcPr>
          <w:p w14:paraId="0A8BD9DE" w14:textId="366CD83E" w:rsidR="006D2FE3" w:rsidRPr="005B0F26" w:rsidRDefault="006D2FE3" w:rsidP="00983C71">
            <w:pPr>
              <w:spacing w:before="120" w:after="120"/>
              <w:rPr>
                <w:rFonts w:cstheme="minorHAnsi"/>
                <w:sz w:val="20"/>
                <w:szCs w:val="20"/>
                <w:highlight w:val="green"/>
              </w:rPr>
            </w:pPr>
            <w:r w:rsidRPr="005B0F26">
              <w:rPr>
                <w:sz w:val="20"/>
              </w:rPr>
              <w:t>Total</w:t>
            </w:r>
          </w:p>
        </w:tc>
        <w:tc>
          <w:tcPr>
            <w:tcW w:w="1161" w:type="pct"/>
            <w:tcBorders>
              <w:top w:val="single" w:sz="12" w:space="0" w:color="auto"/>
            </w:tcBorders>
          </w:tcPr>
          <w:p w14:paraId="3231DD89" w14:textId="77777777" w:rsidR="006D2FE3" w:rsidRPr="005B0F26" w:rsidRDefault="006D2FE3" w:rsidP="00983C71">
            <w:pPr>
              <w:spacing w:before="120" w:after="120"/>
              <w:cnfStyle w:val="000000000000" w:firstRow="0" w:lastRow="0" w:firstColumn="0" w:lastColumn="0" w:oddVBand="0" w:evenVBand="0" w:oddHBand="0" w:evenHBand="0" w:firstRowFirstColumn="0" w:firstRowLastColumn="0" w:lastRowFirstColumn="0" w:lastRowLastColumn="0"/>
              <w:rPr>
                <w:rFonts w:cstheme="minorHAnsi"/>
                <w:b/>
                <w:bCs/>
                <w:sz w:val="20"/>
                <w:szCs w:val="20"/>
                <w:highlight w:val="green"/>
              </w:rPr>
            </w:pPr>
            <w:r w:rsidRPr="005B0F26">
              <w:rPr>
                <w:sz w:val="20"/>
                <w:highlight w:val="green"/>
              </w:rPr>
              <w:t>[…]</w:t>
            </w:r>
          </w:p>
        </w:tc>
      </w:tr>
    </w:tbl>
    <w:p w14:paraId="047BD10F" w14:textId="4BDBAF65" w:rsidR="007E3416" w:rsidRPr="005B0F26" w:rsidRDefault="007E3416" w:rsidP="007E3416">
      <w:r w:rsidRPr="005B0F26">
        <w:t>Table 3: More detailed list of variable fees for services provided.</w:t>
      </w:r>
      <w:r w:rsidRPr="005B0F26">
        <w:br/>
      </w:r>
    </w:p>
    <w:tbl>
      <w:tblPr>
        <w:tblStyle w:val="Svtltabulkasmkou1"/>
        <w:tblpPr w:leftFromText="141" w:rightFromText="141" w:vertAnchor="text" w:tblpY="1"/>
        <w:tblOverlap w:val="never"/>
        <w:tblW w:w="9071" w:type="dxa"/>
        <w:tblLayout w:type="fixed"/>
        <w:tblLook w:val="04A0" w:firstRow="1" w:lastRow="0" w:firstColumn="1" w:lastColumn="0" w:noHBand="0" w:noVBand="1"/>
      </w:tblPr>
      <w:tblGrid>
        <w:gridCol w:w="2378"/>
        <w:gridCol w:w="794"/>
        <w:gridCol w:w="794"/>
        <w:gridCol w:w="794"/>
        <w:gridCol w:w="794"/>
        <w:gridCol w:w="1758"/>
        <w:gridCol w:w="1759"/>
      </w:tblGrid>
      <w:tr w:rsidR="001144A1" w:rsidRPr="005B0F26" w14:paraId="79678C3B" w14:textId="77777777" w:rsidTr="001144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8" w:type="dxa"/>
            <w:tcBorders>
              <w:bottom w:val="single" w:sz="12" w:space="0" w:color="auto"/>
            </w:tcBorders>
            <w:vAlign w:val="center"/>
            <w:hideMark/>
          </w:tcPr>
          <w:p w14:paraId="5608AC35" w14:textId="77777777" w:rsidR="00C0223B" w:rsidRPr="005B0F26" w:rsidRDefault="00C903C2" w:rsidP="001144A1">
            <w:pPr>
              <w:spacing w:after="120"/>
              <w:contextualSpacing/>
              <w:rPr>
                <w:rFonts w:cstheme="minorHAnsi"/>
                <w:b w:val="0"/>
                <w:bCs w:val="0"/>
                <w:sz w:val="20"/>
                <w:szCs w:val="20"/>
              </w:rPr>
            </w:pPr>
            <w:r w:rsidRPr="005B0F26">
              <w:rPr>
                <w:sz w:val="20"/>
              </w:rPr>
              <w:t>Connectors</w:t>
            </w:r>
          </w:p>
          <w:p w14:paraId="7BDA03D4" w14:textId="440D8734" w:rsidR="00C903C2" w:rsidRPr="005B0F26" w:rsidRDefault="00C903C2" w:rsidP="001144A1">
            <w:pPr>
              <w:spacing w:after="120"/>
              <w:contextualSpacing/>
              <w:rPr>
                <w:rFonts w:cstheme="minorHAnsi"/>
                <w:sz w:val="20"/>
                <w:szCs w:val="20"/>
              </w:rPr>
            </w:pPr>
            <w:r w:rsidRPr="005B0F26">
              <w:rPr>
                <w:b w:val="0"/>
                <w:sz w:val="20"/>
              </w:rPr>
              <w:t>Description</w:t>
            </w:r>
          </w:p>
        </w:tc>
        <w:tc>
          <w:tcPr>
            <w:tcW w:w="794" w:type="dxa"/>
            <w:tcBorders>
              <w:bottom w:val="single" w:sz="12" w:space="0" w:color="auto"/>
            </w:tcBorders>
          </w:tcPr>
          <w:p w14:paraId="4DC108B9" w14:textId="77777777" w:rsidR="00C0223B"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b w:val="0"/>
                <w:bCs w:val="0"/>
              </w:rPr>
            </w:pPr>
            <w:r w:rsidRPr="005B0F26">
              <w:t>Qty</w:t>
            </w:r>
          </w:p>
          <w:p w14:paraId="55D34B15" w14:textId="50FB24D6" w:rsidR="00C903C2"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pPr>
            <w:r w:rsidRPr="005B0F26">
              <w:t>1st year</w:t>
            </w:r>
          </w:p>
        </w:tc>
        <w:tc>
          <w:tcPr>
            <w:tcW w:w="794" w:type="dxa"/>
            <w:tcBorders>
              <w:bottom w:val="single" w:sz="12" w:space="0" w:color="auto"/>
            </w:tcBorders>
          </w:tcPr>
          <w:p w14:paraId="58CBDA3F" w14:textId="77777777" w:rsidR="00C0223B"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b w:val="0"/>
                <w:bCs w:val="0"/>
              </w:rPr>
            </w:pPr>
            <w:r w:rsidRPr="005B0F26">
              <w:t>Qty</w:t>
            </w:r>
          </w:p>
          <w:p w14:paraId="45C324A0" w14:textId="05C7B087" w:rsidR="00C903C2"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pPr>
            <w:r w:rsidRPr="005B0F26">
              <w:t>2nd year</w:t>
            </w:r>
          </w:p>
        </w:tc>
        <w:tc>
          <w:tcPr>
            <w:tcW w:w="794" w:type="dxa"/>
            <w:tcBorders>
              <w:bottom w:val="single" w:sz="12" w:space="0" w:color="auto"/>
            </w:tcBorders>
          </w:tcPr>
          <w:p w14:paraId="57F69E32" w14:textId="77777777" w:rsidR="00C0223B"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b w:val="0"/>
                <w:bCs w:val="0"/>
              </w:rPr>
            </w:pPr>
            <w:r w:rsidRPr="005B0F26">
              <w:t>Qty</w:t>
            </w:r>
          </w:p>
          <w:p w14:paraId="30A9DED8" w14:textId="2374EEB7" w:rsidR="00C903C2"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pPr>
            <w:r w:rsidRPr="005B0F26">
              <w:t>3rd year</w:t>
            </w:r>
          </w:p>
        </w:tc>
        <w:tc>
          <w:tcPr>
            <w:tcW w:w="794" w:type="dxa"/>
            <w:tcBorders>
              <w:bottom w:val="single" w:sz="12" w:space="0" w:color="auto"/>
            </w:tcBorders>
          </w:tcPr>
          <w:p w14:paraId="32DF07B1" w14:textId="77777777" w:rsidR="00C0223B"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b w:val="0"/>
                <w:bCs w:val="0"/>
              </w:rPr>
            </w:pPr>
            <w:r w:rsidRPr="005B0F26">
              <w:t>Qty</w:t>
            </w:r>
          </w:p>
          <w:p w14:paraId="75D1E37C" w14:textId="0032AB37" w:rsidR="00C903C2"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t>4th year</w:t>
            </w:r>
          </w:p>
        </w:tc>
        <w:tc>
          <w:tcPr>
            <w:tcW w:w="1758" w:type="dxa"/>
            <w:tcBorders>
              <w:bottom w:val="single" w:sz="12" w:space="0" w:color="auto"/>
            </w:tcBorders>
            <w:vAlign w:val="center"/>
            <w:hideMark/>
          </w:tcPr>
          <w:p w14:paraId="1010F579" w14:textId="78CF67C1" w:rsidR="00C903C2"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rPr>
                <w:sz w:val="20"/>
              </w:rPr>
              <w:t>Unit price per month</w:t>
            </w:r>
          </w:p>
        </w:tc>
        <w:tc>
          <w:tcPr>
            <w:tcW w:w="1759" w:type="dxa"/>
            <w:tcBorders>
              <w:bottom w:val="single" w:sz="12" w:space="0" w:color="auto"/>
            </w:tcBorders>
            <w:vAlign w:val="center"/>
            <w:hideMark/>
          </w:tcPr>
          <w:p w14:paraId="261A3555" w14:textId="77777777" w:rsidR="00C0223B" w:rsidRPr="005B0F26" w:rsidRDefault="00C903C2" w:rsidP="001144A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5B0F26">
              <w:rPr>
                <w:sz w:val="20"/>
              </w:rPr>
              <w:t>Price for 48 months</w:t>
            </w:r>
          </w:p>
          <w:p w14:paraId="75A5EC4F" w14:textId="203B82EB" w:rsidR="00C903C2" w:rsidRPr="005B0F26" w:rsidRDefault="004F7AE5" w:rsidP="001144A1">
            <w:pPr>
              <w:spacing w:after="120"/>
              <w:contextualSpacing/>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5B0F26">
              <w:rPr>
                <w:b w:val="0"/>
                <w:sz w:val="20"/>
              </w:rPr>
              <w:t>[excl. VAT]</w:t>
            </w:r>
          </w:p>
        </w:tc>
      </w:tr>
      <w:tr w:rsidR="001144A1" w:rsidRPr="005B0F26" w14:paraId="37235521" w14:textId="77777777" w:rsidTr="001144A1">
        <w:tc>
          <w:tcPr>
            <w:cnfStyle w:val="001000000000" w:firstRow="0" w:lastRow="0" w:firstColumn="1" w:lastColumn="0" w:oddVBand="0" w:evenVBand="0" w:oddHBand="0" w:evenHBand="0" w:firstRowFirstColumn="0" w:firstRowLastColumn="0" w:lastRowFirstColumn="0" w:lastRowLastColumn="0"/>
            <w:tcW w:w="2378" w:type="dxa"/>
            <w:tcBorders>
              <w:top w:val="single" w:sz="12" w:space="0" w:color="auto"/>
            </w:tcBorders>
            <w:hideMark/>
          </w:tcPr>
          <w:p w14:paraId="61A00CD8" w14:textId="77777777" w:rsidR="00C0467F" w:rsidRPr="005B0F26" w:rsidRDefault="001628AE" w:rsidP="00C0467F">
            <w:pPr>
              <w:spacing w:before="120" w:after="0"/>
              <w:rPr>
                <w:rFonts w:cstheme="minorHAnsi"/>
                <w:b w:val="0"/>
                <w:bCs w:val="0"/>
                <w:sz w:val="20"/>
                <w:szCs w:val="20"/>
              </w:rPr>
            </w:pPr>
            <w:r w:rsidRPr="005B0F26">
              <w:rPr>
                <w:sz w:val="20"/>
              </w:rPr>
              <w:t>Administrator</w:t>
            </w:r>
          </w:p>
          <w:p w14:paraId="147BA541" w14:textId="6EB99BEF" w:rsidR="00B8269B" w:rsidRPr="005B0F26" w:rsidRDefault="00B8269B" w:rsidP="00C0467F">
            <w:pPr>
              <w:rPr>
                <w:rFonts w:cstheme="minorHAnsi"/>
                <w:sz w:val="20"/>
                <w:szCs w:val="20"/>
              </w:rPr>
            </w:pPr>
            <w:r w:rsidRPr="005B0F26">
              <w:rPr>
                <w:b w:val="0"/>
                <w:sz w:val="20"/>
                <w:highlight w:val="lightGray"/>
              </w:rPr>
              <w:t>Limit on volume, number of transfers, etc.</w:t>
            </w:r>
          </w:p>
        </w:tc>
        <w:tc>
          <w:tcPr>
            <w:tcW w:w="794" w:type="dxa"/>
            <w:tcBorders>
              <w:top w:val="single" w:sz="12" w:space="0" w:color="auto"/>
            </w:tcBorders>
          </w:tcPr>
          <w:p w14:paraId="29B3893D" w14:textId="58E420FE"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pPr>
            <w:r w:rsidRPr="005B0F26">
              <w:t>1</w:t>
            </w:r>
          </w:p>
        </w:tc>
        <w:tc>
          <w:tcPr>
            <w:tcW w:w="794" w:type="dxa"/>
            <w:tcBorders>
              <w:top w:val="single" w:sz="12" w:space="0" w:color="auto"/>
            </w:tcBorders>
          </w:tcPr>
          <w:p w14:paraId="2492AAAD" w14:textId="5B25D27C"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pPr>
            <w:r w:rsidRPr="005B0F26">
              <w:t>1</w:t>
            </w:r>
          </w:p>
        </w:tc>
        <w:tc>
          <w:tcPr>
            <w:tcW w:w="794" w:type="dxa"/>
            <w:tcBorders>
              <w:top w:val="single" w:sz="12" w:space="0" w:color="auto"/>
            </w:tcBorders>
          </w:tcPr>
          <w:p w14:paraId="70FE8FA9" w14:textId="75B2C6D1"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pPr>
            <w:r w:rsidRPr="005B0F26">
              <w:t>1</w:t>
            </w:r>
          </w:p>
        </w:tc>
        <w:tc>
          <w:tcPr>
            <w:tcW w:w="794" w:type="dxa"/>
            <w:tcBorders>
              <w:top w:val="single" w:sz="12" w:space="0" w:color="auto"/>
            </w:tcBorders>
          </w:tcPr>
          <w:p w14:paraId="667F5ECA" w14:textId="39F1535A"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t>1</w:t>
            </w:r>
          </w:p>
        </w:tc>
        <w:tc>
          <w:tcPr>
            <w:tcW w:w="1758" w:type="dxa"/>
            <w:tcBorders>
              <w:top w:val="single" w:sz="12" w:space="0" w:color="auto"/>
            </w:tcBorders>
            <w:hideMark/>
          </w:tcPr>
          <w:p w14:paraId="3F6463B8"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c>
          <w:tcPr>
            <w:tcW w:w="1759" w:type="dxa"/>
            <w:tcBorders>
              <w:top w:val="single" w:sz="12" w:space="0" w:color="auto"/>
            </w:tcBorders>
            <w:hideMark/>
          </w:tcPr>
          <w:p w14:paraId="095258BF"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r>
      <w:tr w:rsidR="001144A1" w:rsidRPr="005B0F26" w14:paraId="11F25DCA" w14:textId="77777777" w:rsidTr="001144A1">
        <w:tc>
          <w:tcPr>
            <w:cnfStyle w:val="001000000000" w:firstRow="0" w:lastRow="0" w:firstColumn="1" w:lastColumn="0" w:oddVBand="0" w:evenVBand="0" w:oddHBand="0" w:evenHBand="0" w:firstRowFirstColumn="0" w:firstRowLastColumn="0" w:lastRowFirstColumn="0" w:lastRowLastColumn="0"/>
            <w:tcW w:w="2378" w:type="dxa"/>
            <w:hideMark/>
          </w:tcPr>
          <w:p w14:paraId="53BAF789" w14:textId="77777777" w:rsidR="00C0467F" w:rsidRPr="005B0F26" w:rsidRDefault="00B8269B" w:rsidP="00C0467F">
            <w:pPr>
              <w:spacing w:before="120" w:after="0"/>
              <w:rPr>
                <w:rFonts w:cstheme="minorHAnsi"/>
                <w:b w:val="0"/>
                <w:bCs w:val="0"/>
                <w:sz w:val="20"/>
                <w:szCs w:val="20"/>
              </w:rPr>
            </w:pPr>
            <w:r w:rsidRPr="005B0F26">
              <w:rPr>
                <w:sz w:val="20"/>
              </w:rPr>
              <w:t>User – full licence</w:t>
            </w:r>
          </w:p>
          <w:p w14:paraId="6185A03D" w14:textId="54F19A58" w:rsidR="00C903C2" w:rsidRPr="005B0F26" w:rsidRDefault="00B8269B" w:rsidP="00C0467F">
            <w:pPr>
              <w:rPr>
                <w:rFonts w:cstheme="minorHAnsi"/>
                <w:sz w:val="20"/>
                <w:szCs w:val="20"/>
              </w:rPr>
            </w:pPr>
            <w:r w:rsidRPr="005B0F26">
              <w:rPr>
                <w:b w:val="0"/>
                <w:sz w:val="20"/>
                <w:highlight w:val="lightGray"/>
              </w:rPr>
              <w:t>Limit on volume, number of transfers, etc.</w:t>
            </w:r>
          </w:p>
        </w:tc>
        <w:tc>
          <w:tcPr>
            <w:tcW w:w="794" w:type="dxa"/>
          </w:tcPr>
          <w:p w14:paraId="318A05D8" w14:textId="42D299B3"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pPr>
            <w:r w:rsidRPr="005B0F26">
              <w:t>10</w:t>
            </w:r>
          </w:p>
        </w:tc>
        <w:tc>
          <w:tcPr>
            <w:tcW w:w="794" w:type="dxa"/>
          </w:tcPr>
          <w:p w14:paraId="0DF45D7E" w14:textId="1C7F78E1"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pPr>
            <w:r w:rsidRPr="005B0F26">
              <w:t>30</w:t>
            </w:r>
          </w:p>
        </w:tc>
        <w:tc>
          <w:tcPr>
            <w:tcW w:w="794" w:type="dxa"/>
          </w:tcPr>
          <w:p w14:paraId="012F2932" w14:textId="0E71500B"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pPr>
            <w:r w:rsidRPr="005B0F26">
              <w:t>40</w:t>
            </w:r>
          </w:p>
        </w:tc>
        <w:tc>
          <w:tcPr>
            <w:tcW w:w="794" w:type="dxa"/>
          </w:tcPr>
          <w:p w14:paraId="5E61286A" w14:textId="6F658866"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t>45</w:t>
            </w:r>
          </w:p>
        </w:tc>
        <w:tc>
          <w:tcPr>
            <w:tcW w:w="1758" w:type="dxa"/>
            <w:hideMark/>
          </w:tcPr>
          <w:p w14:paraId="505845B2"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c>
          <w:tcPr>
            <w:tcW w:w="1759" w:type="dxa"/>
            <w:hideMark/>
          </w:tcPr>
          <w:p w14:paraId="657699AD"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r>
      <w:tr w:rsidR="001144A1" w:rsidRPr="005B0F26" w14:paraId="62DF6852" w14:textId="77777777" w:rsidTr="001144A1">
        <w:tc>
          <w:tcPr>
            <w:cnfStyle w:val="001000000000" w:firstRow="0" w:lastRow="0" w:firstColumn="1" w:lastColumn="0" w:oddVBand="0" w:evenVBand="0" w:oddHBand="0" w:evenHBand="0" w:firstRowFirstColumn="0" w:firstRowLastColumn="0" w:lastRowFirstColumn="0" w:lastRowLastColumn="0"/>
            <w:tcW w:w="2378" w:type="dxa"/>
            <w:hideMark/>
          </w:tcPr>
          <w:p w14:paraId="74D64337" w14:textId="1A8D3BF3" w:rsidR="00C0467F" w:rsidRPr="005B0F26" w:rsidRDefault="00B8269B" w:rsidP="00C0467F">
            <w:pPr>
              <w:spacing w:before="120" w:after="0"/>
              <w:rPr>
                <w:rFonts w:cstheme="minorHAnsi"/>
                <w:b w:val="0"/>
                <w:bCs w:val="0"/>
                <w:sz w:val="20"/>
                <w:szCs w:val="20"/>
              </w:rPr>
            </w:pPr>
            <w:r w:rsidRPr="005B0F26">
              <w:rPr>
                <w:sz w:val="20"/>
              </w:rPr>
              <w:t>User – limited lic</w:t>
            </w:r>
            <w:r w:rsidR="004D63E0" w:rsidRPr="005B0F26">
              <w:rPr>
                <w:sz w:val="20"/>
              </w:rPr>
              <w:t>ence</w:t>
            </w:r>
          </w:p>
          <w:p w14:paraId="1A04BCFE" w14:textId="05504E3E" w:rsidR="00C903C2" w:rsidRPr="005B0F26" w:rsidRDefault="00B8269B" w:rsidP="00C0467F">
            <w:pPr>
              <w:rPr>
                <w:rFonts w:cstheme="minorHAnsi"/>
                <w:sz w:val="20"/>
                <w:szCs w:val="20"/>
              </w:rPr>
            </w:pPr>
            <w:r w:rsidRPr="005B0F26">
              <w:rPr>
                <w:b w:val="0"/>
                <w:sz w:val="20"/>
                <w:highlight w:val="lightGray"/>
              </w:rPr>
              <w:t>Limit on volume, number of transfers, etc.</w:t>
            </w:r>
          </w:p>
        </w:tc>
        <w:tc>
          <w:tcPr>
            <w:tcW w:w="794" w:type="dxa"/>
          </w:tcPr>
          <w:p w14:paraId="35BCDAB1" w14:textId="20A68B0A" w:rsidR="00C903C2" w:rsidRPr="005B0F26" w:rsidRDefault="001628AE" w:rsidP="001144A1">
            <w:pPr>
              <w:spacing w:before="120"/>
              <w:cnfStyle w:val="000000000000" w:firstRow="0" w:lastRow="0" w:firstColumn="0" w:lastColumn="0" w:oddVBand="0" w:evenVBand="0" w:oddHBand="0" w:evenHBand="0" w:firstRowFirstColumn="0" w:firstRowLastColumn="0" w:lastRowFirstColumn="0" w:lastRowLastColumn="0"/>
            </w:pPr>
            <w:r w:rsidRPr="005B0F26">
              <w:t>25</w:t>
            </w:r>
          </w:p>
        </w:tc>
        <w:tc>
          <w:tcPr>
            <w:tcW w:w="794" w:type="dxa"/>
          </w:tcPr>
          <w:p w14:paraId="676A00F4" w14:textId="58BA5BFF"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pPr>
            <w:r w:rsidRPr="005B0F26">
              <w:t>25</w:t>
            </w:r>
          </w:p>
        </w:tc>
        <w:tc>
          <w:tcPr>
            <w:tcW w:w="794" w:type="dxa"/>
          </w:tcPr>
          <w:p w14:paraId="458674D7" w14:textId="367DD221"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pPr>
            <w:r w:rsidRPr="005B0F26">
              <w:t>25</w:t>
            </w:r>
          </w:p>
        </w:tc>
        <w:tc>
          <w:tcPr>
            <w:tcW w:w="794" w:type="dxa"/>
          </w:tcPr>
          <w:p w14:paraId="42D30F00" w14:textId="0A28102D" w:rsidR="00C903C2" w:rsidRPr="005B0F26" w:rsidRDefault="001144A1"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t>25</w:t>
            </w:r>
          </w:p>
        </w:tc>
        <w:tc>
          <w:tcPr>
            <w:tcW w:w="1758" w:type="dxa"/>
            <w:hideMark/>
          </w:tcPr>
          <w:p w14:paraId="35F34BB7"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c>
          <w:tcPr>
            <w:tcW w:w="1759" w:type="dxa"/>
            <w:hideMark/>
          </w:tcPr>
          <w:p w14:paraId="51AC87B7" w14:textId="77777777" w:rsidR="00C903C2" w:rsidRPr="005B0F26" w:rsidRDefault="00C903C2" w:rsidP="001144A1">
            <w:pPr>
              <w:spacing w:before="120"/>
              <w:cnfStyle w:val="000000000000" w:firstRow="0" w:lastRow="0" w:firstColumn="0" w:lastColumn="0" w:oddVBand="0" w:evenVBand="0" w:oddHBand="0" w:evenHBand="0" w:firstRowFirstColumn="0" w:firstRowLastColumn="0" w:lastRowFirstColumn="0" w:lastRowLastColumn="0"/>
              <w:rPr>
                <w:rFonts w:cstheme="minorHAnsi"/>
                <w:sz w:val="20"/>
                <w:szCs w:val="20"/>
                <w:highlight w:val="lightGray"/>
              </w:rPr>
            </w:pPr>
            <w:r w:rsidRPr="005B0F26">
              <w:rPr>
                <w:sz w:val="20"/>
                <w:highlight w:val="lightGray"/>
              </w:rPr>
              <w:t>[…]</w:t>
            </w:r>
          </w:p>
        </w:tc>
      </w:tr>
      <w:tr w:rsidR="001144A1" w:rsidRPr="005B0F26" w14:paraId="2F268687" w14:textId="77777777" w:rsidTr="005D47B7">
        <w:tc>
          <w:tcPr>
            <w:cnfStyle w:val="001000000000" w:firstRow="0" w:lastRow="0" w:firstColumn="1" w:lastColumn="0" w:oddVBand="0" w:evenVBand="0" w:oddHBand="0" w:evenHBand="0" w:firstRowFirstColumn="0" w:firstRowLastColumn="0" w:lastRowFirstColumn="0" w:lastRowLastColumn="0"/>
            <w:tcW w:w="7312" w:type="dxa"/>
            <w:gridSpan w:val="6"/>
            <w:tcBorders>
              <w:top w:val="single" w:sz="12" w:space="0" w:color="auto"/>
            </w:tcBorders>
            <w:vAlign w:val="center"/>
          </w:tcPr>
          <w:p w14:paraId="0D14FB4F" w14:textId="3DBE3416" w:rsidR="001144A1" w:rsidRPr="005B0F26" w:rsidRDefault="001144A1" w:rsidP="001144A1">
            <w:pPr>
              <w:spacing w:before="120" w:after="120"/>
              <w:rPr>
                <w:rFonts w:cstheme="minorHAnsi"/>
                <w:b w:val="0"/>
                <w:bCs w:val="0"/>
                <w:sz w:val="20"/>
                <w:szCs w:val="20"/>
                <w:highlight w:val="lightGray"/>
              </w:rPr>
            </w:pPr>
            <w:r w:rsidRPr="005B0F26">
              <w:rPr>
                <w:sz w:val="20"/>
              </w:rPr>
              <w:t>Total price</w:t>
            </w:r>
          </w:p>
        </w:tc>
        <w:tc>
          <w:tcPr>
            <w:tcW w:w="1759" w:type="dxa"/>
            <w:tcBorders>
              <w:top w:val="single" w:sz="12" w:space="0" w:color="auto"/>
            </w:tcBorders>
          </w:tcPr>
          <w:p w14:paraId="287FF6ED" w14:textId="612CB1A5" w:rsidR="001144A1" w:rsidRPr="005B0F26" w:rsidRDefault="001144A1" w:rsidP="001144A1">
            <w:pPr>
              <w:spacing w:before="120" w:after="120"/>
              <w:cnfStyle w:val="000000000000" w:firstRow="0" w:lastRow="0" w:firstColumn="0" w:lastColumn="0" w:oddVBand="0" w:evenVBand="0" w:oddHBand="0" w:evenHBand="0" w:firstRowFirstColumn="0" w:firstRowLastColumn="0" w:lastRowFirstColumn="0" w:lastRowLastColumn="0"/>
              <w:rPr>
                <w:rFonts w:cstheme="minorHAnsi"/>
                <w:b/>
                <w:bCs/>
                <w:sz w:val="20"/>
                <w:szCs w:val="20"/>
                <w:highlight w:val="lightGray"/>
              </w:rPr>
            </w:pPr>
            <w:r w:rsidRPr="005B0F26">
              <w:rPr>
                <w:sz w:val="20"/>
                <w:highlight w:val="lightGray"/>
              </w:rPr>
              <w:t>[…]</w:t>
            </w:r>
          </w:p>
        </w:tc>
      </w:tr>
    </w:tbl>
    <w:p w14:paraId="7403AD00" w14:textId="4EDC4A39" w:rsidR="006D2FE3" w:rsidRPr="005B0F26" w:rsidRDefault="006D2FE3" w:rsidP="006D2FE3">
      <w:r w:rsidRPr="005B0F26">
        <w:t>Table 4: List of licences granted for connectors with the estimated number for each year.</w:t>
      </w:r>
    </w:p>
    <w:p w14:paraId="3F4C60B6" w14:textId="77777777" w:rsidR="007E3416" w:rsidRDefault="007E3416" w:rsidP="00016923"/>
    <w:sectPr w:rsidR="007E3416" w:rsidSect="008E30C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570F2" w14:textId="77777777" w:rsidR="0092727C" w:rsidRPr="005B0F26" w:rsidRDefault="0092727C" w:rsidP="00F31D97">
      <w:pPr>
        <w:spacing w:after="0" w:line="240" w:lineRule="auto"/>
      </w:pPr>
      <w:r w:rsidRPr="005B0F26">
        <w:separator/>
      </w:r>
    </w:p>
  </w:endnote>
  <w:endnote w:type="continuationSeparator" w:id="0">
    <w:p w14:paraId="6CCCBB70" w14:textId="77777777" w:rsidR="0092727C" w:rsidRPr="005B0F26" w:rsidRDefault="0092727C" w:rsidP="00F31D97">
      <w:pPr>
        <w:spacing w:after="0" w:line="240" w:lineRule="auto"/>
      </w:pPr>
      <w:r w:rsidRPr="005B0F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086798"/>
      <w:docPartObj>
        <w:docPartGallery w:val="Page Numbers (Bottom of Page)"/>
        <w:docPartUnique/>
      </w:docPartObj>
    </w:sdtPr>
    <w:sdtEndPr>
      <w:rPr>
        <w:sz w:val="28"/>
        <w:szCs w:val="28"/>
      </w:rPr>
    </w:sdtEndPr>
    <w:sdtContent>
      <w:p w14:paraId="605B85AE" w14:textId="17104A03" w:rsidR="007444A4" w:rsidRPr="005B0F26" w:rsidRDefault="007E1C18" w:rsidP="007E3416">
        <w:pPr>
          <w:pStyle w:val="Zpat"/>
          <w:jc w:val="center"/>
          <w:rPr>
            <w:sz w:val="28"/>
            <w:szCs w:val="28"/>
          </w:rPr>
        </w:pPr>
        <w:r w:rsidRPr="005B0F26">
          <w:rPr>
            <w:rFonts w:ascii="Arial" w:hAnsi="Arial" w:cs="Arial"/>
            <w:sz w:val="22"/>
          </w:rPr>
          <w:fldChar w:fldCharType="begin"/>
        </w:r>
        <w:r w:rsidRPr="005B0F26">
          <w:rPr>
            <w:rFonts w:ascii="Arial" w:hAnsi="Arial" w:cs="Arial"/>
            <w:sz w:val="22"/>
          </w:rPr>
          <w:instrText>PAGE   \* MERGEFORMAT</w:instrText>
        </w:r>
        <w:r w:rsidRPr="005B0F26">
          <w:rPr>
            <w:rFonts w:ascii="Arial" w:hAnsi="Arial" w:cs="Arial"/>
            <w:sz w:val="22"/>
          </w:rPr>
          <w:fldChar w:fldCharType="separate"/>
        </w:r>
        <w:r w:rsidRPr="005B0F26">
          <w:rPr>
            <w:rFonts w:ascii="Arial" w:hAnsi="Arial" w:cs="Arial"/>
            <w:sz w:val="22"/>
          </w:rPr>
          <w:t>21</w:t>
        </w:r>
        <w:r w:rsidRPr="005B0F26">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5F42F" w14:textId="77777777" w:rsidR="0092727C" w:rsidRPr="005B0F26" w:rsidRDefault="0092727C" w:rsidP="00F31D97">
      <w:pPr>
        <w:spacing w:after="0" w:line="240" w:lineRule="auto"/>
      </w:pPr>
      <w:r w:rsidRPr="005B0F26">
        <w:separator/>
      </w:r>
    </w:p>
  </w:footnote>
  <w:footnote w:type="continuationSeparator" w:id="0">
    <w:p w14:paraId="4D672678" w14:textId="77777777" w:rsidR="0092727C" w:rsidRPr="005B0F26" w:rsidRDefault="0092727C" w:rsidP="00F31D97">
      <w:pPr>
        <w:spacing w:after="0" w:line="240" w:lineRule="auto"/>
      </w:pPr>
      <w:r w:rsidRPr="005B0F26">
        <w:continuationSeparator/>
      </w:r>
    </w:p>
  </w:footnote>
  <w:footnote w:id="1">
    <w:p w14:paraId="294A0D91" w14:textId="7318C244" w:rsidR="008E2FD2" w:rsidRPr="005B0F26" w:rsidRDefault="008E2FD2">
      <w:pPr>
        <w:pStyle w:val="Textpoznpodarou"/>
      </w:pPr>
      <w:r w:rsidRPr="005B0F26">
        <w:rPr>
          <w:rStyle w:val="Znakapoznpodarou"/>
        </w:rPr>
        <w:footnoteRef/>
      </w:r>
      <w:r w:rsidRPr="005B0F26">
        <w:t xml:space="preserve"> The names used are for reference only and do not refer to specific products or contractors.</w:t>
      </w:r>
    </w:p>
  </w:footnote>
  <w:footnote w:id="2">
    <w:p w14:paraId="4FA18F46" w14:textId="709A890F" w:rsidR="00DB585F" w:rsidRPr="005B0F26" w:rsidRDefault="00DB585F">
      <w:pPr>
        <w:pStyle w:val="Textpoznpodarou"/>
      </w:pPr>
      <w:r w:rsidRPr="005B0F26">
        <w:rPr>
          <w:rStyle w:val="Znakapoznpodarou"/>
        </w:rPr>
        <w:footnoteRef/>
      </w:r>
      <w:r w:rsidRPr="005B0F26">
        <w:t xml:space="preserve"> This can be broken down in more detail in the following tables.</w:t>
      </w:r>
    </w:p>
  </w:footnote>
  <w:footnote w:id="3">
    <w:p w14:paraId="6E232AFA" w14:textId="6D12D0AB" w:rsidR="00DB585F" w:rsidRPr="00DB585F" w:rsidRDefault="00DB585F">
      <w:pPr>
        <w:pStyle w:val="Textpoznpodarou"/>
      </w:pPr>
      <w:r w:rsidRPr="005B0F26">
        <w:rPr>
          <w:rStyle w:val="Znakapoznpodarou"/>
        </w:rPr>
        <w:footnoteRef/>
      </w:r>
      <w:r w:rsidRPr="005B0F26">
        <w:t xml:space="preserve"> VAT will be added to prices in accordance with applicable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8CBD" w14:textId="45F94B38" w:rsidR="001243EF" w:rsidRPr="005B0F26" w:rsidRDefault="001243EF">
    <w:pPr>
      <w:pStyle w:val="Zhlav"/>
      <w:rPr>
        <w:rFonts w:ascii="Calibri" w:hAnsi="Calibri" w:cs="Calibri"/>
      </w:rPr>
    </w:pPr>
    <w:r w:rsidRPr="005B0F26">
      <w:rPr>
        <w:rFonts w:ascii="Calibri" w:hAnsi="Calibri"/>
      </w:rPr>
      <w:t>Annex 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0533C"/>
    <w:multiLevelType w:val="multilevel"/>
    <w:tmpl w:val="EFCE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9950E7"/>
    <w:multiLevelType w:val="multilevel"/>
    <w:tmpl w:val="0D70D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6258429">
    <w:abstractNumId w:val="0"/>
  </w:num>
  <w:num w:numId="2" w16cid:durableId="1230189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97"/>
    <w:rsid w:val="00016923"/>
    <w:rsid w:val="00033C06"/>
    <w:rsid w:val="00087553"/>
    <w:rsid w:val="000A3082"/>
    <w:rsid w:val="000C5926"/>
    <w:rsid w:val="000D38D9"/>
    <w:rsid w:val="00102EA0"/>
    <w:rsid w:val="001144A1"/>
    <w:rsid w:val="001243EF"/>
    <w:rsid w:val="001628AE"/>
    <w:rsid w:val="001A0B94"/>
    <w:rsid w:val="001D2323"/>
    <w:rsid w:val="001D33C5"/>
    <w:rsid w:val="0021353F"/>
    <w:rsid w:val="00283202"/>
    <w:rsid w:val="002F696F"/>
    <w:rsid w:val="00313CC1"/>
    <w:rsid w:val="00324CB2"/>
    <w:rsid w:val="00325AC7"/>
    <w:rsid w:val="00456D24"/>
    <w:rsid w:val="00486436"/>
    <w:rsid w:val="004D63E0"/>
    <w:rsid w:val="004F7AE5"/>
    <w:rsid w:val="005B0F26"/>
    <w:rsid w:val="00635087"/>
    <w:rsid w:val="006633CD"/>
    <w:rsid w:val="006D197E"/>
    <w:rsid w:val="006D1A08"/>
    <w:rsid w:val="006D2FE3"/>
    <w:rsid w:val="006E0BD7"/>
    <w:rsid w:val="00716B47"/>
    <w:rsid w:val="00731CA8"/>
    <w:rsid w:val="007444A4"/>
    <w:rsid w:val="0075552C"/>
    <w:rsid w:val="00796052"/>
    <w:rsid w:val="007A1D72"/>
    <w:rsid w:val="007B2D68"/>
    <w:rsid w:val="007C26E2"/>
    <w:rsid w:val="007E1C18"/>
    <w:rsid w:val="007E26CB"/>
    <w:rsid w:val="007E3416"/>
    <w:rsid w:val="007F28FD"/>
    <w:rsid w:val="0080675B"/>
    <w:rsid w:val="00816947"/>
    <w:rsid w:val="00871A9A"/>
    <w:rsid w:val="008C3ED2"/>
    <w:rsid w:val="008E2FD2"/>
    <w:rsid w:val="008F18D0"/>
    <w:rsid w:val="008F28BE"/>
    <w:rsid w:val="009069B0"/>
    <w:rsid w:val="0092727C"/>
    <w:rsid w:val="00967409"/>
    <w:rsid w:val="009D331F"/>
    <w:rsid w:val="00A62DF8"/>
    <w:rsid w:val="00A845A2"/>
    <w:rsid w:val="00AA4591"/>
    <w:rsid w:val="00AD3A61"/>
    <w:rsid w:val="00AE50B5"/>
    <w:rsid w:val="00B12432"/>
    <w:rsid w:val="00B724CC"/>
    <w:rsid w:val="00B8077F"/>
    <w:rsid w:val="00B8269B"/>
    <w:rsid w:val="00BE1A75"/>
    <w:rsid w:val="00C0223B"/>
    <w:rsid w:val="00C0467F"/>
    <w:rsid w:val="00C07669"/>
    <w:rsid w:val="00C439F7"/>
    <w:rsid w:val="00C47FE1"/>
    <w:rsid w:val="00C903C2"/>
    <w:rsid w:val="00CE27DD"/>
    <w:rsid w:val="00D64EA4"/>
    <w:rsid w:val="00DB585F"/>
    <w:rsid w:val="00DE746C"/>
    <w:rsid w:val="00EA155A"/>
    <w:rsid w:val="00EF30B1"/>
    <w:rsid w:val="00F31D97"/>
    <w:rsid w:val="00F508F6"/>
    <w:rsid w:val="00F85F1D"/>
    <w:rsid w:val="00FA1F04"/>
    <w:rsid w:val="00FE1D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F982"/>
  <w15:chartTrackingRefBased/>
  <w15:docId w15:val="{E4C5D897-CC96-470D-B881-9D283D917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416"/>
    <w:pPr>
      <w:spacing w:after="200" w:line="27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31D9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F31D97"/>
    <w:rPr>
      <w:rFonts w:ascii="Times New Roman" w:eastAsia="Times New Roman" w:hAnsi="Times New Roman" w:cs="Times New Roman"/>
      <w:sz w:val="24"/>
      <w:szCs w:val="24"/>
      <w:lang w:eastAsia="cs-CZ"/>
    </w:rPr>
  </w:style>
  <w:style w:type="paragraph" w:customStyle="1" w:styleId="Ploha">
    <w:name w:val="Příloha"/>
    <w:basedOn w:val="Normln"/>
    <w:next w:val="Normln"/>
    <w:rsid w:val="00F31D97"/>
    <w:pPr>
      <w:spacing w:after="0" w:line="240" w:lineRule="auto"/>
      <w:jc w:val="both"/>
    </w:pPr>
    <w:rPr>
      <w:rFonts w:ascii="Tahoma" w:eastAsia="Times New Roman" w:hAnsi="Tahoma" w:cs="Tahoma"/>
      <w:b/>
      <w:sz w:val="20"/>
      <w:szCs w:val="20"/>
    </w:rPr>
  </w:style>
  <w:style w:type="table" w:styleId="Mkatabulky">
    <w:name w:val="Table Grid"/>
    <w:basedOn w:val="Normlntabulka"/>
    <w:uiPriority w:val="59"/>
    <w:rsid w:val="00F31D97"/>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31D9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31D97"/>
    <w:rPr>
      <w:rFonts w:eastAsiaTheme="minorEastAsia"/>
      <w:lang w:eastAsia="cs-CZ"/>
    </w:rPr>
  </w:style>
  <w:style w:type="character" w:styleId="Odkaznakoment">
    <w:name w:val="annotation reference"/>
    <w:basedOn w:val="Standardnpsmoodstavce"/>
    <w:uiPriority w:val="99"/>
    <w:semiHidden/>
    <w:unhideWhenUsed/>
    <w:rsid w:val="00456D24"/>
    <w:rPr>
      <w:sz w:val="16"/>
      <w:szCs w:val="16"/>
    </w:rPr>
  </w:style>
  <w:style w:type="paragraph" w:styleId="Textkomente">
    <w:name w:val="annotation text"/>
    <w:basedOn w:val="Normln"/>
    <w:link w:val="TextkomenteChar"/>
    <w:uiPriority w:val="99"/>
    <w:semiHidden/>
    <w:unhideWhenUsed/>
    <w:rsid w:val="00456D24"/>
    <w:pPr>
      <w:spacing w:line="240" w:lineRule="auto"/>
    </w:pPr>
    <w:rPr>
      <w:sz w:val="20"/>
      <w:szCs w:val="20"/>
    </w:rPr>
  </w:style>
  <w:style w:type="character" w:customStyle="1" w:styleId="TextkomenteChar">
    <w:name w:val="Text komentáře Char"/>
    <w:basedOn w:val="Standardnpsmoodstavce"/>
    <w:link w:val="Textkomente"/>
    <w:uiPriority w:val="99"/>
    <w:semiHidden/>
    <w:rsid w:val="00456D24"/>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456D24"/>
    <w:rPr>
      <w:b/>
      <w:bCs/>
    </w:rPr>
  </w:style>
  <w:style w:type="character" w:customStyle="1" w:styleId="PedmtkomenteChar">
    <w:name w:val="Předmět komentáře Char"/>
    <w:basedOn w:val="TextkomenteChar"/>
    <w:link w:val="Pedmtkomente"/>
    <w:uiPriority w:val="99"/>
    <w:semiHidden/>
    <w:rsid w:val="00456D24"/>
    <w:rPr>
      <w:rFonts w:eastAsiaTheme="minorEastAsia"/>
      <w:b/>
      <w:bCs/>
      <w:sz w:val="20"/>
      <w:szCs w:val="20"/>
      <w:lang w:eastAsia="cs-CZ"/>
    </w:rPr>
  </w:style>
  <w:style w:type="table" w:styleId="Svtlmkatabulky">
    <w:name w:val="Grid Table Light"/>
    <w:basedOn w:val="Normlntabulka"/>
    <w:uiPriority w:val="40"/>
    <w:rsid w:val="00C076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C076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poznpodarou">
    <w:name w:val="footnote text"/>
    <w:basedOn w:val="Normln"/>
    <w:link w:val="TextpoznpodarouChar"/>
    <w:uiPriority w:val="99"/>
    <w:semiHidden/>
    <w:unhideWhenUsed/>
    <w:rsid w:val="009D33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D331F"/>
    <w:rPr>
      <w:rFonts w:eastAsiaTheme="minorEastAsia"/>
      <w:sz w:val="20"/>
      <w:szCs w:val="20"/>
      <w:lang w:eastAsia="cs-CZ"/>
    </w:rPr>
  </w:style>
  <w:style w:type="character" w:styleId="Znakapoznpodarou">
    <w:name w:val="footnote reference"/>
    <w:basedOn w:val="Standardnpsmoodstavce"/>
    <w:uiPriority w:val="99"/>
    <w:semiHidden/>
    <w:unhideWhenUsed/>
    <w:rsid w:val="009D331F"/>
    <w:rPr>
      <w:vertAlign w:val="superscript"/>
    </w:rPr>
  </w:style>
  <w:style w:type="paragraph" w:styleId="Odstavecseseznamem">
    <w:name w:val="List Paragraph"/>
    <w:basedOn w:val="Normln"/>
    <w:uiPriority w:val="34"/>
    <w:qFormat/>
    <w:rsid w:val="00EF30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128939854">
      <w:bodyDiv w:val="1"/>
      <w:marLeft w:val="0"/>
      <w:marRight w:val="0"/>
      <w:marTop w:val="0"/>
      <w:marBottom w:val="0"/>
      <w:divBdr>
        <w:top w:val="none" w:sz="0" w:space="0" w:color="auto"/>
        <w:left w:val="none" w:sz="0" w:space="0" w:color="auto"/>
        <w:bottom w:val="none" w:sz="0" w:space="0" w:color="auto"/>
        <w:right w:val="none" w:sz="0" w:space="0" w:color="auto"/>
      </w:divBdr>
    </w:div>
    <w:div w:id="370885809">
      <w:bodyDiv w:val="1"/>
      <w:marLeft w:val="0"/>
      <w:marRight w:val="0"/>
      <w:marTop w:val="0"/>
      <w:marBottom w:val="0"/>
      <w:divBdr>
        <w:top w:val="none" w:sz="0" w:space="0" w:color="auto"/>
        <w:left w:val="none" w:sz="0" w:space="0" w:color="auto"/>
        <w:bottom w:val="none" w:sz="0" w:space="0" w:color="auto"/>
        <w:right w:val="none" w:sz="0" w:space="0" w:color="auto"/>
      </w:divBdr>
    </w:div>
    <w:div w:id="404425190">
      <w:bodyDiv w:val="1"/>
      <w:marLeft w:val="0"/>
      <w:marRight w:val="0"/>
      <w:marTop w:val="0"/>
      <w:marBottom w:val="0"/>
      <w:divBdr>
        <w:top w:val="none" w:sz="0" w:space="0" w:color="auto"/>
        <w:left w:val="none" w:sz="0" w:space="0" w:color="auto"/>
        <w:bottom w:val="none" w:sz="0" w:space="0" w:color="auto"/>
        <w:right w:val="none" w:sz="0" w:space="0" w:color="auto"/>
      </w:divBdr>
    </w:div>
    <w:div w:id="669403958">
      <w:bodyDiv w:val="1"/>
      <w:marLeft w:val="0"/>
      <w:marRight w:val="0"/>
      <w:marTop w:val="0"/>
      <w:marBottom w:val="0"/>
      <w:divBdr>
        <w:top w:val="none" w:sz="0" w:space="0" w:color="auto"/>
        <w:left w:val="none" w:sz="0" w:space="0" w:color="auto"/>
        <w:bottom w:val="none" w:sz="0" w:space="0" w:color="auto"/>
        <w:right w:val="none" w:sz="0" w:space="0" w:color="auto"/>
      </w:divBdr>
    </w:div>
    <w:div w:id="743526873">
      <w:bodyDiv w:val="1"/>
      <w:marLeft w:val="0"/>
      <w:marRight w:val="0"/>
      <w:marTop w:val="0"/>
      <w:marBottom w:val="0"/>
      <w:divBdr>
        <w:top w:val="none" w:sz="0" w:space="0" w:color="auto"/>
        <w:left w:val="none" w:sz="0" w:space="0" w:color="auto"/>
        <w:bottom w:val="none" w:sz="0" w:space="0" w:color="auto"/>
        <w:right w:val="none" w:sz="0" w:space="0" w:color="auto"/>
      </w:divBdr>
    </w:div>
    <w:div w:id="901988756">
      <w:bodyDiv w:val="1"/>
      <w:marLeft w:val="0"/>
      <w:marRight w:val="0"/>
      <w:marTop w:val="0"/>
      <w:marBottom w:val="0"/>
      <w:divBdr>
        <w:top w:val="none" w:sz="0" w:space="0" w:color="auto"/>
        <w:left w:val="none" w:sz="0" w:space="0" w:color="auto"/>
        <w:bottom w:val="none" w:sz="0" w:space="0" w:color="auto"/>
        <w:right w:val="none" w:sz="0" w:space="0" w:color="auto"/>
      </w:divBdr>
    </w:div>
    <w:div w:id="1005666692">
      <w:bodyDiv w:val="1"/>
      <w:marLeft w:val="0"/>
      <w:marRight w:val="0"/>
      <w:marTop w:val="0"/>
      <w:marBottom w:val="0"/>
      <w:divBdr>
        <w:top w:val="none" w:sz="0" w:space="0" w:color="auto"/>
        <w:left w:val="none" w:sz="0" w:space="0" w:color="auto"/>
        <w:bottom w:val="none" w:sz="0" w:space="0" w:color="auto"/>
        <w:right w:val="none" w:sz="0" w:space="0" w:color="auto"/>
      </w:divBdr>
    </w:div>
    <w:div w:id="1059552017">
      <w:bodyDiv w:val="1"/>
      <w:marLeft w:val="0"/>
      <w:marRight w:val="0"/>
      <w:marTop w:val="0"/>
      <w:marBottom w:val="0"/>
      <w:divBdr>
        <w:top w:val="none" w:sz="0" w:space="0" w:color="auto"/>
        <w:left w:val="none" w:sz="0" w:space="0" w:color="auto"/>
        <w:bottom w:val="none" w:sz="0" w:space="0" w:color="auto"/>
        <w:right w:val="none" w:sz="0" w:space="0" w:color="auto"/>
      </w:divBdr>
    </w:div>
    <w:div w:id="1169446636">
      <w:bodyDiv w:val="1"/>
      <w:marLeft w:val="0"/>
      <w:marRight w:val="0"/>
      <w:marTop w:val="0"/>
      <w:marBottom w:val="0"/>
      <w:divBdr>
        <w:top w:val="none" w:sz="0" w:space="0" w:color="auto"/>
        <w:left w:val="none" w:sz="0" w:space="0" w:color="auto"/>
        <w:bottom w:val="none" w:sz="0" w:space="0" w:color="auto"/>
        <w:right w:val="none" w:sz="0" w:space="0" w:color="auto"/>
      </w:divBdr>
    </w:div>
    <w:div w:id="1305039449">
      <w:bodyDiv w:val="1"/>
      <w:marLeft w:val="0"/>
      <w:marRight w:val="0"/>
      <w:marTop w:val="0"/>
      <w:marBottom w:val="0"/>
      <w:divBdr>
        <w:top w:val="none" w:sz="0" w:space="0" w:color="auto"/>
        <w:left w:val="none" w:sz="0" w:space="0" w:color="auto"/>
        <w:bottom w:val="none" w:sz="0" w:space="0" w:color="auto"/>
        <w:right w:val="none" w:sz="0" w:space="0" w:color="auto"/>
      </w:divBdr>
    </w:div>
    <w:div w:id="1340622150">
      <w:bodyDiv w:val="1"/>
      <w:marLeft w:val="0"/>
      <w:marRight w:val="0"/>
      <w:marTop w:val="0"/>
      <w:marBottom w:val="0"/>
      <w:divBdr>
        <w:top w:val="none" w:sz="0" w:space="0" w:color="auto"/>
        <w:left w:val="none" w:sz="0" w:space="0" w:color="auto"/>
        <w:bottom w:val="none" w:sz="0" w:space="0" w:color="auto"/>
        <w:right w:val="none" w:sz="0" w:space="0" w:color="auto"/>
      </w:divBdr>
    </w:div>
    <w:div w:id="1366099884">
      <w:bodyDiv w:val="1"/>
      <w:marLeft w:val="0"/>
      <w:marRight w:val="0"/>
      <w:marTop w:val="0"/>
      <w:marBottom w:val="0"/>
      <w:divBdr>
        <w:top w:val="none" w:sz="0" w:space="0" w:color="auto"/>
        <w:left w:val="none" w:sz="0" w:space="0" w:color="auto"/>
        <w:bottom w:val="none" w:sz="0" w:space="0" w:color="auto"/>
        <w:right w:val="none" w:sz="0" w:space="0" w:color="auto"/>
      </w:divBdr>
    </w:div>
    <w:div w:id="1370110056">
      <w:bodyDiv w:val="1"/>
      <w:marLeft w:val="0"/>
      <w:marRight w:val="0"/>
      <w:marTop w:val="0"/>
      <w:marBottom w:val="0"/>
      <w:divBdr>
        <w:top w:val="none" w:sz="0" w:space="0" w:color="auto"/>
        <w:left w:val="none" w:sz="0" w:space="0" w:color="auto"/>
        <w:bottom w:val="none" w:sz="0" w:space="0" w:color="auto"/>
        <w:right w:val="none" w:sz="0" w:space="0" w:color="auto"/>
      </w:divBdr>
    </w:div>
    <w:div w:id="1765298864">
      <w:bodyDiv w:val="1"/>
      <w:marLeft w:val="0"/>
      <w:marRight w:val="0"/>
      <w:marTop w:val="0"/>
      <w:marBottom w:val="0"/>
      <w:divBdr>
        <w:top w:val="none" w:sz="0" w:space="0" w:color="auto"/>
        <w:left w:val="none" w:sz="0" w:space="0" w:color="auto"/>
        <w:bottom w:val="none" w:sz="0" w:space="0" w:color="auto"/>
        <w:right w:val="none" w:sz="0" w:space="0" w:color="auto"/>
      </w:divBdr>
    </w:div>
    <w:div w:id="198137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9987-D2A9-4495-A459-426A8EB9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463</Words>
  <Characters>2732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Jiří Mgr.</dc:creator>
  <cp:keywords/>
  <dc:description/>
  <cp:lastModifiedBy>Štěpán Pala</cp:lastModifiedBy>
  <cp:revision>19</cp:revision>
  <cp:lastPrinted>2025-11-05T14:14:00Z</cp:lastPrinted>
  <dcterms:created xsi:type="dcterms:W3CDTF">2025-11-06T12:17:00Z</dcterms:created>
  <dcterms:modified xsi:type="dcterms:W3CDTF">2025-11-26T15:07:00Z</dcterms:modified>
</cp:coreProperties>
</file>