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99D8" w14:textId="77CCCFBD" w:rsidR="003F7BB0" w:rsidRPr="003F7BB0" w:rsidRDefault="003F7BB0" w:rsidP="003F7BB0">
      <w:pPr>
        <w:spacing w:after="0" w:line="240" w:lineRule="auto"/>
        <w:jc w:val="both"/>
        <w:rPr>
          <w:rFonts w:ascii="Arial" w:eastAsia="Times New Roman" w:hAnsi="Arial" w:cs="Arial"/>
          <w:b/>
          <w:lang w:val="en"/>
        </w:rPr>
      </w:pPr>
      <w:r w:rsidRPr="003F7BB0">
        <w:rPr>
          <w:rFonts w:ascii="Arial" w:eastAsia="Times New Roman" w:hAnsi="Arial" w:cs="Arial"/>
          <w:b/>
          <w:lang w:val="en"/>
        </w:rPr>
        <w:t xml:space="preserve">Table of </w:t>
      </w:r>
      <w:r w:rsidR="00550CA2">
        <w:rPr>
          <w:rFonts w:ascii="Arial" w:eastAsia="Times New Roman" w:hAnsi="Arial" w:cs="Arial"/>
          <w:b/>
          <w:lang w:val="en"/>
        </w:rPr>
        <w:t>C</w:t>
      </w:r>
      <w:r w:rsidRPr="003F7BB0">
        <w:rPr>
          <w:rFonts w:ascii="Arial" w:eastAsia="Times New Roman" w:hAnsi="Arial" w:cs="Arial"/>
          <w:b/>
          <w:lang w:val="en"/>
        </w:rPr>
        <w:t xml:space="preserve">ompliance with </w:t>
      </w:r>
      <w:r w:rsidR="00550CA2">
        <w:rPr>
          <w:rFonts w:ascii="Arial" w:eastAsia="Times New Roman" w:hAnsi="Arial" w:cs="Arial"/>
          <w:b/>
          <w:lang w:val="en"/>
        </w:rPr>
        <w:t>M</w:t>
      </w:r>
      <w:r w:rsidRPr="003F7BB0">
        <w:rPr>
          <w:rFonts w:ascii="Arial" w:eastAsia="Times New Roman" w:hAnsi="Arial" w:cs="Arial"/>
          <w:b/>
          <w:lang w:val="en"/>
        </w:rPr>
        <w:t xml:space="preserve">inimum </w:t>
      </w:r>
      <w:r w:rsidR="00550CA2">
        <w:rPr>
          <w:rFonts w:ascii="Arial" w:eastAsia="Times New Roman" w:hAnsi="Arial" w:cs="Arial"/>
          <w:b/>
          <w:lang w:val="en"/>
        </w:rPr>
        <w:t>P</w:t>
      </w:r>
      <w:r w:rsidRPr="003F7BB0">
        <w:rPr>
          <w:rFonts w:ascii="Arial" w:eastAsia="Times New Roman" w:hAnsi="Arial" w:cs="Arial"/>
          <w:b/>
          <w:lang w:val="en"/>
        </w:rPr>
        <w:t>arameters</w:t>
      </w:r>
      <w:r w:rsidR="00550CA2">
        <w:rPr>
          <w:rFonts w:ascii="Arial" w:eastAsia="Times New Roman" w:hAnsi="Arial" w:cs="Arial"/>
          <w:b/>
          <w:lang w:val="en"/>
        </w:rPr>
        <w:t xml:space="preserve"> of the Data Space</w:t>
      </w:r>
    </w:p>
    <w:p w14:paraId="6C6BBB3F" w14:textId="77777777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BFB6089" w14:textId="502FCF1F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3F7BB0">
        <w:rPr>
          <w:rFonts w:ascii="Arial" w:eastAsia="Times New Roman" w:hAnsi="Arial" w:cs="Arial"/>
          <w:sz w:val="20"/>
          <w:szCs w:val="20"/>
          <w:lang w:eastAsia="en-US"/>
        </w:rPr>
        <w:t xml:space="preserve">The required minimum parameters </w:t>
      </w:r>
      <w:r w:rsidR="00764578">
        <w:rPr>
          <w:rFonts w:ascii="Arial" w:eastAsia="Times New Roman" w:hAnsi="Arial" w:cs="Arial"/>
          <w:sz w:val="20"/>
          <w:szCs w:val="20"/>
          <w:lang w:eastAsia="en-US"/>
        </w:rPr>
        <w:t>shall</w:t>
      </w:r>
      <w:r w:rsidRPr="003F7BB0">
        <w:rPr>
          <w:rFonts w:ascii="Arial" w:eastAsia="Times New Roman" w:hAnsi="Arial" w:cs="Arial"/>
          <w:sz w:val="20"/>
          <w:szCs w:val="20"/>
          <w:lang w:eastAsia="en-US"/>
        </w:rPr>
        <w:t xml:space="preserve"> be met by the offered solution within the scope of the offer.</w:t>
      </w:r>
    </w:p>
    <w:p w14:paraId="75B36353" w14:textId="77777777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3F7BB0">
        <w:rPr>
          <w:rFonts w:ascii="Arial" w:eastAsia="Times New Roman" w:hAnsi="Arial" w:cs="Arial"/>
          <w:sz w:val="20"/>
          <w:szCs w:val="20"/>
          <w:lang w:eastAsia="en-US"/>
        </w:rPr>
        <w:t>In the "Completed Yes/No" cells, enter:</w:t>
      </w:r>
    </w:p>
    <w:p w14:paraId="7DF65538" w14:textId="77777777" w:rsidR="003F7BB0" w:rsidRPr="003F7BB0" w:rsidRDefault="003F7BB0" w:rsidP="003F7BB0">
      <w:pPr>
        <w:widowControl w:val="0"/>
        <w:numPr>
          <w:ilvl w:val="0"/>
          <w:numId w:val="3"/>
        </w:numPr>
        <w:tabs>
          <w:tab w:val="left" w:pos="708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3F7BB0">
        <w:rPr>
          <w:rFonts w:ascii="Arial" w:eastAsia="Times New Roman" w:hAnsi="Arial" w:cs="Arial"/>
          <w:sz w:val="20"/>
          <w:szCs w:val="20"/>
          <w:lang w:eastAsia="en-US"/>
        </w:rPr>
        <w:t>YES – the system meets the given functionality (requirement)</w:t>
      </w:r>
    </w:p>
    <w:p w14:paraId="6E303F1A" w14:textId="77777777" w:rsidR="003F7BB0" w:rsidRPr="003F7BB0" w:rsidRDefault="003F7BB0" w:rsidP="003F7BB0">
      <w:pPr>
        <w:widowControl w:val="0"/>
        <w:numPr>
          <w:ilvl w:val="0"/>
          <w:numId w:val="3"/>
        </w:numPr>
        <w:tabs>
          <w:tab w:val="left" w:pos="708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3F7BB0">
        <w:rPr>
          <w:rFonts w:ascii="Arial" w:eastAsia="Times New Roman" w:hAnsi="Arial" w:cs="Arial"/>
          <w:sz w:val="20"/>
          <w:szCs w:val="20"/>
          <w:lang w:eastAsia="en-US"/>
        </w:rPr>
        <w:t>NO – the system does not meet the given functionality (requirement)</w:t>
      </w:r>
    </w:p>
    <w:p w14:paraId="4BF1A8BA" w14:textId="77777777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10E2D126" w14:textId="77777777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687E4FA8" w14:textId="77777777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3F7BB0">
        <w:rPr>
          <w:rFonts w:ascii="Arial" w:eastAsia="Times New Roman" w:hAnsi="Arial" w:cs="Arial"/>
          <w:b/>
          <w:sz w:val="20"/>
          <w:szCs w:val="20"/>
          <w:lang w:eastAsia="en-US"/>
        </w:rPr>
        <w:t>Part A) – General and technical requirements</w:t>
      </w:r>
    </w:p>
    <w:p w14:paraId="50C2CA5B" w14:textId="2D1408AC" w:rsidR="003F7BB0" w:rsidRPr="003F7BB0" w:rsidRDefault="003F7BB0" w:rsidP="003F7B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 xml:space="preserve">General requirements of the </w:t>
      </w:r>
      <w:r w:rsidR="00550CA2">
        <w:rPr>
          <w:rFonts w:ascii="Arial" w:eastAsia="Times New Roman" w:hAnsi="Arial" w:cs="Arial"/>
          <w:b/>
          <w:sz w:val="20"/>
          <w:szCs w:val="20"/>
          <w:u w:val="single"/>
        </w:rPr>
        <w:t>C</w:t>
      </w: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 xml:space="preserve">ontracting </w:t>
      </w:r>
      <w:r w:rsidR="00550CA2">
        <w:rPr>
          <w:rFonts w:ascii="Arial" w:eastAsia="Times New Roman" w:hAnsi="Arial" w:cs="Arial"/>
          <w:b/>
          <w:sz w:val="20"/>
          <w:szCs w:val="20"/>
          <w:u w:val="single"/>
        </w:rPr>
        <w:t>A</w:t>
      </w: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>uthority for implementation:</w:t>
      </w:r>
    </w:p>
    <w:p w14:paraId="5BD9D53B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7120"/>
        <w:gridCol w:w="1126"/>
      </w:tblGrid>
      <w:tr w:rsidR="003F7BB0" w:rsidRPr="003F7BB0" w14:paraId="508C8101" w14:textId="77777777" w:rsidTr="003F7BB0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61FE9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Number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930191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Requirement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AFDBF0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Fulfilled</w:t>
            </w:r>
          </w:p>
          <w:p w14:paraId="4E954BDF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  <w:t>Yes/No</w:t>
            </w:r>
          </w:p>
        </w:tc>
      </w:tr>
      <w:tr w:rsidR="003F7BB0" w:rsidRPr="003F7BB0" w14:paraId="4878B1A7" w14:textId="77777777" w:rsidTr="003F7BB0">
        <w:trPr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D8C8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4D32" w14:textId="56BDD54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supplier will ensure that the data space and its updates will be in accordance with generally binding legal regulations of the Czech Republic and the EU throughout the </w:t>
            </w:r>
            <w:r w:rsidR="00550CA2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C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ontract period, especially in the areas of personal data protection, cybersecurity and digital identity.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83728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44A98435" w14:textId="77777777" w:rsidTr="003F7BB0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2F61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2AB" w14:textId="77777777" w:rsidR="003F7BB0" w:rsidRPr="003F7BB0" w:rsidRDefault="003F7BB0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The implementation includes all activities necessary to establish and launch a data space as a service, including documentation and methodological instructions for administrators and participants.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39937" w14:textId="77777777" w:rsidR="003F7BB0" w:rsidRPr="003F7BB0" w:rsidRDefault="003F7BB0" w:rsidP="003F7BB0">
            <w:pPr>
              <w:tabs>
                <w:tab w:val="left" w:pos="1077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1E1AEA26" w14:textId="77777777" w:rsidTr="003F7BB0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CC0E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1705" w14:textId="3F1AEDB0" w:rsidR="003F7BB0" w:rsidRPr="003F7BB0" w:rsidRDefault="003F7BB0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It will also include work and services necessary for the functionality of the data space, which are not explicitly stated in the </w:t>
            </w:r>
            <w:r w:rsidR="00550CA2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C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ontract but which the </w:t>
            </w:r>
            <w:r w:rsidR="00550CA2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C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ontractor, as an expert, should have known or could have known about.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DDCE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34E51E13" w14:textId="77777777" w:rsidTr="003F7BB0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8422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B50A" w14:textId="6848784E" w:rsidR="003F7BB0" w:rsidRPr="003F7BB0" w:rsidRDefault="00550CA2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Complete</w:t>
            </w:r>
            <w:r w:rsidR="003F7BB0"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localization in Czech or English (user and administrator interface, help and documentation) including communication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00C4F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4FF03DE9" w14:textId="77777777" w:rsidTr="003F7BB0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7D9E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183" w14:textId="3A9CCCE3" w:rsidR="003F7BB0" w:rsidRPr="003F7BB0" w:rsidRDefault="003F7BB0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data space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be based on open European standards and recommendations (IDSA Reference Architecture Model, GAIA-X, ENISA, DCAT-AP, NGSI-LD).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803A3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169FD0D5" w14:textId="77777777" w:rsidTr="003F7BB0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E83D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48C6" w14:textId="6A6F83A7" w:rsidR="003F7BB0" w:rsidRPr="003F7BB0" w:rsidRDefault="003F7BB0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solution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the management of the identity and authorization of participants, including the definition of access rights to individual data sets and services through policies (Usage Policies).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9AE3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14C2A3F7" w14:textId="77777777" w:rsidTr="003F7BB0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311B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7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55B" w14:textId="3F132697" w:rsidR="003F7BB0" w:rsidRPr="003F7BB0" w:rsidRDefault="003F7BB0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solution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maintain audit trails of all transactions in the data space (logging access, sharing and use of data), in accordance with transparency and traceability requirements.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96E8C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07F6DE24" w14:textId="77777777" w:rsidTr="003F7BB0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E990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8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0F1" w14:textId="77777777" w:rsidR="003F7BB0" w:rsidRPr="003F7BB0" w:rsidRDefault="003F7BB0" w:rsidP="003F7BB0">
            <w:pPr>
              <w:tabs>
                <w:tab w:val="left" w:pos="1077"/>
              </w:tabs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The implementation will include a testing phase, including interoperability verification, security tests, and acceptance tests with selected data sources.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21044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</w:tbl>
    <w:p w14:paraId="24B4D1F6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p w14:paraId="47E79DC3" w14:textId="77777777" w:rsidR="003F7BB0" w:rsidRPr="003F7BB0" w:rsidRDefault="003F7BB0" w:rsidP="003F7BB0">
      <w:pPr>
        <w:spacing w:after="160" w:line="256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3F7BB0">
        <w:rPr>
          <w:rFonts w:ascii="Arial" w:eastAsia="Times New Roman" w:hAnsi="Arial" w:cs="Arial"/>
          <w:sz w:val="20"/>
          <w:szCs w:val="20"/>
          <w:lang w:val="en"/>
        </w:rPr>
        <w:br w:type="page"/>
      </w:r>
    </w:p>
    <w:p w14:paraId="1B9C220D" w14:textId="41A8E737" w:rsidR="003F7BB0" w:rsidRPr="003F7BB0" w:rsidRDefault="003F7BB0" w:rsidP="003F7B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lastRenderedPageBreak/>
        <w:t xml:space="preserve">The </w:t>
      </w:r>
      <w:r w:rsidR="00550CA2">
        <w:rPr>
          <w:rFonts w:ascii="Arial" w:eastAsia="Times New Roman" w:hAnsi="Arial" w:cs="Arial"/>
          <w:b/>
          <w:sz w:val="20"/>
          <w:szCs w:val="20"/>
          <w:u w:val="single"/>
        </w:rPr>
        <w:t>C</w:t>
      </w: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 xml:space="preserve">ontracting </w:t>
      </w:r>
      <w:r w:rsidR="00550CA2">
        <w:rPr>
          <w:rFonts w:ascii="Arial" w:eastAsia="Times New Roman" w:hAnsi="Arial" w:cs="Arial"/>
          <w:b/>
          <w:sz w:val="20"/>
          <w:szCs w:val="20"/>
          <w:u w:val="single"/>
        </w:rPr>
        <w:t>A</w:t>
      </w: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>uthority's technical requirements for implementation:</w:t>
      </w:r>
    </w:p>
    <w:p w14:paraId="4FD308E4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tbl>
      <w:tblPr>
        <w:tblW w:w="9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96"/>
        <w:gridCol w:w="1151"/>
      </w:tblGrid>
      <w:tr w:rsidR="003F7BB0" w:rsidRPr="003F7BB0" w14:paraId="0A1F5343" w14:textId="77777777" w:rsidTr="00727EA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8E732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Number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9A573B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Requirement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116C31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Fulfilled</w:t>
            </w:r>
          </w:p>
          <w:p w14:paraId="19707403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  <w:t>Yes/No</w:t>
            </w:r>
          </w:p>
        </w:tc>
      </w:tr>
      <w:tr w:rsidR="003F7BB0" w:rsidRPr="003F7BB0" w14:paraId="2E64FCC1" w14:textId="77777777" w:rsidTr="00727EAE">
        <w:trPr>
          <w:trHeight w:val="7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DF58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210A" w14:textId="3CBF5789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allow simultaneous access by multiple users and participants while maintaining adequate responsiveness and scalability.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25007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009024D1" w14:textId="77777777" w:rsidTr="00727EAE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3447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2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8287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The client part will be accessible through a common web browser (Chrome, Firefox, Edge, Safari).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F3CE6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7ADC76DE" w14:textId="77777777" w:rsidTr="00727EAE">
        <w:trPr>
          <w:trHeight w:val="4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1090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3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5255A" w14:textId="4AB60C1C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solution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be scalable - allowing for the expansion of the number of connectors, data flow volumes, and the inclusion of additional participants.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6C626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1B6F2A84" w14:textId="77777777" w:rsidTr="00727EAE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2565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4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928C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UNICODE character set support.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ECC45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5BF9C7FD" w14:textId="77777777" w:rsidTr="00727EAE">
        <w:trPr>
          <w:trHeight w:val="6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CD51" w14:textId="77777777" w:rsidR="003F7BB0" w:rsidRPr="003F7BB0" w:rsidRDefault="003F7BB0" w:rsidP="003F7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5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766B8" w14:textId="6BAC3B3B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Communication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be encrypted (HTTPS/TLS 1.3), data at rest and in transit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be protected by end-to-end encryption according to ENISA recommendations.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6B36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</w:tbl>
    <w:p w14:paraId="187A18CB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p w14:paraId="1F15DC18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p w14:paraId="24A94EFA" w14:textId="77777777" w:rsidR="003F7BB0" w:rsidRPr="003F7BB0" w:rsidRDefault="003F7BB0" w:rsidP="003F7B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>Training and support requirements:</w:t>
      </w:r>
    </w:p>
    <w:p w14:paraId="0E478086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001"/>
        <w:gridCol w:w="1011"/>
      </w:tblGrid>
      <w:tr w:rsidR="003F7BB0" w:rsidRPr="003F7BB0" w14:paraId="70A05415" w14:textId="77777777" w:rsidTr="00727EAE">
        <w:trPr>
          <w:trHeight w:val="6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A54E4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Number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37A237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Requirement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2570DB1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Fulfilled</w:t>
            </w:r>
          </w:p>
          <w:p w14:paraId="70B526D9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  <w:t>Yes/No</w:t>
            </w:r>
          </w:p>
        </w:tc>
      </w:tr>
      <w:tr w:rsidR="003F7BB0" w:rsidRPr="003F7BB0" w14:paraId="209F394F" w14:textId="77777777" w:rsidTr="00727EAE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9034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E5B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The offer will include user training on working with the data space, online or in person.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E8F60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19489356" w14:textId="77777777" w:rsidTr="00727EAE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409A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1090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The supplier will ensure regular communication and consultations with the customer (e.g. quarterly), where new system features will be presented and current problems will be solved.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D3C20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307C14A3" w14:textId="77777777" w:rsidTr="00727EAE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F973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74E3" w14:textId="08A788DE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</w:t>
            </w:r>
            <w:r w:rsidR="00550CA2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C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ontractor will provide a guarantee of a certain number of hours of technical support and system development per year.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F0693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</w:tbl>
    <w:p w14:paraId="233085E3" w14:textId="77777777" w:rsidR="003F7BB0" w:rsidRPr="003F7BB0" w:rsidRDefault="003F7BB0" w:rsidP="003F7BB0">
      <w:pPr>
        <w:rPr>
          <w:rFonts w:ascii="Arial" w:eastAsia="Times New Roman" w:hAnsi="Arial" w:cs="Arial"/>
          <w:sz w:val="20"/>
          <w:szCs w:val="20"/>
          <w:lang w:val="en"/>
        </w:rPr>
      </w:pPr>
    </w:p>
    <w:p w14:paraId="178D12AF" w14:textId="77777777" w:rsidR="003F7BB0" w:rsidRPr="003F7BB0" w:rsidRDefault="003F7BB0" w:rsidP="003F7BB0">
      <w:pPr>
        <w:spacing w:after="160" w:line="256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3F7BB0">
        <w:rPr>
          <w:rFonts w:ascii="Arial" w:eastAsia="Times New Roman" w:hAnsi="Arial" w:cs="Arial"/>
          <w:sz w:val="20"/>
          <w:szCs w:val="20"/>
          <w:lang w:val="en"/>
        </w:rPr>
        <w:br w:type="page"/>
      </w:r>
    </w:p>
    <w:p w14:paraId="1A12866A" w14:textId="0EA4CE9A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3F7BB0">
        <w:rPr>
          <w:rFonts w:ascii="Arial" w:eastAsia="Times New Roman" w:hAnsi="Arial" w:cs="Arial"/>
          <w:b/>
          <w:sz w:val="20"/>
          <w:szCs w:val="20"/>
          <w:lang w:eastAsia="en-US"/>
        </w:rPr>
        <w:lastRenderedPageBreak/>
        <w:t xml:space="preserve">Part B) – Requirements for the functionality of the </w:t>
      </w:r>
      <w:proofErr w:type="spellStart"/>
      <w:r w:rsidRPr="003F7BB0">
        <w:rPr>
          <w:rFonts w:ascii="Arial" w:eastAsia="Times New Roman" w:hAnsi="Arial" w:cs="Arial"/>
          <w:b/>
          <w:sz w:val="20"/>
          <w:szCs w:val="20"/>
          <w:lang w:eastAsia="en-US"/>
        </w:rPr>
        <w:t>registrat</w:t>
      </w:r>
      <w:r w:rsidR="00550CA2">
        <w:rPr>
          <w:rFonts w:ascii="Arial" w:eastAsia="Times New Roman" w:hAnsi="Arial" w:cs="Arial"/>
          <w:b/>
          <w:sz w:val="20"/>
          <w:szCs w:val="20"/>
          <w:lang w:eastAsia="en-US"/>
        </w:rPr>
        <w:t>ry</w:t>
      </w:r>
      <w:proofErr w:type="spellEnd"/>
      <w:r w:rsidRPr="003F7B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system</w:t>
      </w:r>
    </w:p>
    <w:p w14:paraId="53BB44E2" w14:textId="77777777" w:rsidR="003F7BB0" w:rsidRPr="003F7BB0" w:rsidRDefault="003F7BB0" w:rsidP="003F7BB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3F7BB0">
        <w:rPr>
          <w:rFonts w:ascii="Arial" w:eastAsia="Times New Roman" w:hAnsi="Arial" w:cs="Arial"/>
          <w:b/>
          <w:sz w:val="20"/>
          <w:szCs w:val="20"/>
          <w:u w:val="single"/>
        </w:rPr>
        <w:t>Minimum range:</w:t>
      </w:r>
    </w:p>
    <w:p w14:paraId="524E6AAA" w14:textId="77777777" w:rsidR="003F7BB0" w:rsidRPr="003F7BB0" w:rsidRDefault="003F7BB0" w:rsidP="003F7BB0">
      <w:pPr>
        <w:tabs>
          <w:tab w:val="left" w:pos="540"/>
          <w:tab w:val="left" w:pos="1260"/>
          <w:tab w:val="left" w:pos="1980"/>
          <w:tab w:val="left" w:pos="396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019"/>
        <w:gridCol w:w="993"/>
      </w:tblGrid>
      <w:tr w:rsidR="003F7BB0" w:rsidRPr="003F7BB0" w14:paraId="673E6DB5" w14:textId="77777777" w:rsidTr="00727EA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EF06C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Number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A31F5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Requirement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9B4BDC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/>
                <w:sz w:val="20"/>
                <w:szCs w:val="20"/>
                <w:lang w:val="en" w:eastAsia="en-US"/>
              </w:rPr>
              <w:t>Fulfilled</w:t>
            </w:r>
          </w:p>
          <w:p w14:paraId="7DBA182D" w14:textId="77777777" w:rsidR="003F7BB0" w:rsidRPr="003F7BB0" w:rsidRDefault="003F7BB0" w:rsidP="003F7BB0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bCs/>
                <w:sz w:val="20"/>
                <w:szCs w:val="20"/>
                <w:lang w:val="en" w:eastAsia="en-US"/>
              </w:rPr>
              <w:t>Yes/No</w:t>
            </w:r>
          </w:p>
        </w:tc>
      </w:tr>
      <w:tr w:rsidR="003F7BB0" w:rsidRPr="003F7BB0" w14:paraId="514EDD79" w14:textId="77777777" w:rsidTr="00727EAE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A03A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CB5A" w14:textId="3A0AE580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solution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support time attributes of data (timestamp, intervals) to be able to track the development of values and events over time.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42651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6A9D0BE1" w14:textId="77777777" w:rsidTr="00727EAE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41F3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2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CB3" w14:textId="2DF92262" w:rsidR="003F7BB0" w:rsidRPr="00727EAE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pacing w:val="-4"/>
                <w:sz w:val="20"/>
                <w:szCs w:val="20"/>
                <w:lang w:val="en" w:eastAsia="en-US"/>
              </w:rPr>
            </w:pPr>
            <w:r w:rsidRPr="00727EAE">
              <w:rPr>
                <w:rFonts w:ascii="Arial" w:eastAsia="Times New Roman" w:hAnsi="Arial" w:cs="Arial"/>
                <w:spacing w:val="-4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pacing w:val="-4"/>
                <w:sz w:val="20"/>
                <w:szCs w:val="20"/>
                <w:lang w:val="en" w:eastAsia="en-US"/>
              </w:rPr>
              <w:t>shall</w:t>
            </w:r>
            <w:r w:rsidRPr="00727EAE">
              <w:rPr>
                <w:rFonts w:ascii="Arial" w:eastAsia="Times New Roman" w:hAnsi="Arial" w:cs="Arial"/>
                <w:spacing w:val="-4"/>
                <w:sz w:val="20"/>
                <w:szCs w:val="20"/>
                <w:lang w:val="en" w:eastAsia="en-US"/>
              </w:rPr>
              <w:t xml:space="preserve"> enable cataloging and management of multimedia data (images, video, audio, 3D), including the ability to store metadata and links to data storage.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07533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0B880A17" w14:textId="77777777" w:rsidTr="00727EAE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A0B0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3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53A2" w14:textId="6F5275E9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work with metadata according to open standards (DCAT-AP, NGSI-LD), including technical and descriptive metadata.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74393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5CE7CFE2" w14:textId="77777777" w:rsidTr="00727EAE">
        <w:trPr>
          <w:trHeight w:val="4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C3DB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4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AEE8" w14:textId="287957B9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data space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allow for the description of datasets with geolocation attributes in metadata (e.g. WGS84) so that such data sources can be searched and used in third-party services.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FC7FB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5695C2EF" w14:textId="77777777" w:rsidTr="00727EAE">
        <w:trPr>
          <w:trHeight w:val="6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9ED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5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D75B" w14:textId="4D23D67B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Support for easy sorting, searching and filtering (system filters, </w:t>
            </w:r>
            <w:proofErr w:type="spellStart"/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fulltext</w:t>
            </w:r>
            <w:proofErr w:type="spellEnd"/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0AB3B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3759C22B" w14:textId="77777777" w:rsidTr="00727EAE">
        <w:trPr>
          <w:trHeight w:val="7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361F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6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214D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Users can save their own filters and display configurations (dashboards).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338E0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3457F775" w14:textId="77777777" w:rsidTr="00727EAE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B3EE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7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6FCD" w14:textId="41699333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full-text search in the metadata catalog and associated documents.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EA1C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089DBA15" w14:textId="77777777" w:rsidTr="00727EA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21B1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8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324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Clear context-sensitive help.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68C9F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42A78B92" w14:textId="77777777" w:rsidTr="00727EAE">
        <w:trPr>
          <w:trHeight w:val="5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7718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9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A7CA" w14:textId="75F700F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data export and report generation (PDF, XLSX, CSV) with the ability to customize them.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AC294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6AAA5F51" w14:textId="77777777" w:rsidTr="00727EAE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37C8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10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C208" w14:textId="77777777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Exports in XML, HTML, XLXS, RTF, PDF formats, including export for Open Data.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8698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2AE47205" w14:textId="77777777" w:rsidTr="00727EAE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880F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11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74EE" w14:textId="5327B1B4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data space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integration with mapping applications (GIS) through standardized APIs. Data visualization in maps is not a mandatory part of the data space, but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be technically enabled.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17AE5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29D0EEFD" w14:textId="77777777" w:rsidTr="00727EAE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E097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12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D23A" w14:textId="097120B4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solution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basic analytical functions and data visualization, or integration with external BI tools.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7DEF3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23AC322D" w14:textId="77777777" w:rsidTr="00727EAE">
        <w:trPr>
          <w:trHeight w:val="6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2A2A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13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6753" w14:textId="2A9A51EF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support mechanisms for detecting duplicate records in metadata.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9B5E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35FBAA27" w14:textId="77777777" w:rsidTr="00727EA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B7B3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14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0F37" w14:textId="024F77FE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Support for automated processes – the system </w:t>
            </w:r>
            <w:r w:rsidR="00550CA2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offer the user a guide to the sequence of individual steps.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D8BDF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  <w:tr w:rsidR="003F7BB0" w:rsidRPr="003F7BB0" w14:paraId="756B5A1B" w14:textId="77777777" w:rsidTr="00727EA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603B" w14:textId="77777777" w:rsidR="003F7BB0" w:rsidRPr="003F7BB0" w:rsidRDefault="003F7BB0" w:rsidP="003F7B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15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648B" w14:textId="031B1C8C" w:rsidR="003F7BB0" w:rsidRPr="003F7BB0" w:rsidRDefault="003F7BB0" w:rsidP="003F7BB0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The system </w:t>
            </w:r>
            <w:r w:rsidR="00764578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>shall</w:t>
            </w:r>
            <w:r w:rsidRPr="003F7BB0"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  <w:t xml:space="preserve"> enable searching across all data sources connected to the data space.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E94F" w14:textId="77777777" w:rsidR="003F7BB0" w:rsidRPr="003F7BB0" w:rsidRDefault="003F7BB0" w:rsidP="003F7B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en-US"/>
              </w:rPr>
            </w:pPr>
          </w:p>
        </w:tc>
      </w:tr>
    </w:tbl>
    <w:p w14:paraId="3F4C60B6" w14:textId="77777777" w:rsidR="007E3416" w:rsidRPr="003F7BB0" w:rsidRDefault="007E3416" w:rsidP="00727EAE"/>
    <w:sectPr w:rsidR="007E3416" w:rsidRPr="003F7BB0" w:rsidSect="008E30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70F2" w14:textId="77777777" w:rsidR="0092727C" w:rsidRPr="005B0F26" w:rsidRDefault="0092727C" w:rsidP="00F31D97">
      <w:pPr>
        <w:spacing w:after="0" w:line="240" w:lineRule="auto"/>
      </w:pPr>
      <w:r w:rsidRPr="005B0F26">
        <w:separator/>
      </w:r>
    </w:p>
  </w:endnote>
  <w:endnote w:type="continuationSeparator" w:id="0">
    <w:p w14:paraId="6CCCBB70" w14:textId="77777777" w:rsidR="0092727C" w:rsidRPr="005B0F26" w:rsidRDefault="0092727C" w:rsidP="00F31D97">
      <w:pPr>
        <w:spacing w:after="0" w:line="240" w:lineRule="auto"/>
      </w:pPr>
      <w:r w:rsidRPr="005B0F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0867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05B85AE" w14:textId="17104A03" w:rsidR="007444A4" w:rsidRPr="005B0F26" w:rsidRDefault="007E1C18" w:rsidP="007E3416">
        <w:pPr>
          <w:pStyle w:val="Zpat"/>
          <w:jc w:val="center"/>
          <w:rPr>
            <w:sz w:val="28"/>
            <w:szCs w:val="28"/>
          </w:rPr>
        </w:pPr>
        <w:r w:rsidRPr="005B0F26">
          <w:rPr>
            <w:rFonts w:ascii="Arial" w:hAnsi="Arial" w:cs="Arial"/>
            <w:sz w:val="22"/>
          </w:rPr>
          <w:fldChar w:fldCharType="begin"/>
        </w:r>
        <w:r w:rsidRPr="005B0F26">
          <w:rPr>
            <w:rFonts w:ascii="Arial" w:hAnsi="Arial" w:cs="Arial"/>
            <w:sz w:val="22"/>
          </w:rPr>
          <w:instrText>PAGE   \* MERGEFORMAT</w:instrText>
        </w:r>
        <w:r w:rsidRPr="005B0F26">
          <w:rPr>
            <w:rFonts w:ascii="Arial" w:hAnsi="Arial" w:cs="Arial"/>
            <w:sz w:val="22"/>
          </w:rPr>
          <w:fldChar w:fldCharType="separate"/>
        </w:r>
        <w:r w:rsidRPr="005B0F26">
          <w:rPr>
            <w:rFonts w:ascii="Arial" w:hAnsi="Arial" w:cs="Arial"/>
            <w:sz w:val="22"/>
          </w:rPr>
          <w:t>21</w:t>
        </w:r>
        <w:r w:rsidRPr="005B0F26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42F" w14:textId="77777777" w:rsidR="0092727C" w:rsidRPr="005B0F26" w:rsidRDefault="0092727C" w:rsidP="00F31D97">
      <w:pPr>
        <w:spacing w:after="0" w:line="240" w:lineRule="auto"/>
      </w:pPr>
      <w:r w:rsidRPr="005B0F26">
        <w:separator/>
      </w:r>
    </w:p>
  </w:footnote>
  <w:footnote w:type="continuationSeparator" w:id="0">
    <w:p w14:paraId="4D672678" w14:textId="77777777" w:rsidR="0092727C" w:rsidRPr="005B0F26" w:rsidRDefault="0092727C" w:rsidP="00F31D97">
      <w:pPr>
        <w:spacing w:after="0" w:line="240" w:lineRule="auto"/>
      </w:pPr>
      <w:r w:rsidRPr="005B0F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8CBD" w14:textId="617D3867" w:rsidR="001243EF" w:rsidRPr="005B0F26" w:rsidRDefault="001243EF">
    <w:pPr>
      <w:pStyle w:val="Zhlav"/>
      <w:rPr>
        <w:rFonts w:ascii="Calibri" w:hAnsi="Calibri" w:cs="Calibri"/>
      </w:rPr>
    </w:pPr>
    <w:r w:rsidRPr="005B0F26">
      <w:rPr>
        <w:rFonts w:ascii="Calibri" w:hAnsi="Calibri"/>
      </w:rPr>
      <w:t xml:space="preserve">Annex </w:t>
    </w:r>
    <w:r w:rsidR="003F7BB0">
      <w:rPr>
        <w:rFonts w:ascii="Calibri" w:hAnsi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0B30"/>
    <w:multiLevelType w:val="hybridMultilevel"/>
    <w:tmpl w:val="CD40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60C19"/>
    <w:multiLevelType w:val="hybridMultilevel"/>
    <w:tmpl w:val="23D86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533C"/>
    <w:multiLevelType w:val="multilevel"/>
    <w:tmpl w:val="EFCE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B7A15"/>
    <w:multiLevelType w:val="hybridMultilevel"/>
    <w:tmpl w:val="30A244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950E7"/>
    <w:multiLevelType w:val="multilevel"/>
    <w:tmpl w:val="0D7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258429">
    <w:abstractNumId w:val="2"/>
  </w:num>
  <w:num w:numId="2" w16cid:durableId="1230189662">
    <w:abstractNumId w:val="4"/>
  </w:num>
  <w:num w:numId="3" w16cid:durableId="104273424">
    <w:abstractNumId w:val="0"/>
  </w:num>
  <w:num w:numId="4" w16cid:durableId="1041128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642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97"/>
    <w:rsid w:val="00016923"/>
    <w:rsid w:val="00033C06"/>
    <w:rsid w:val="00087553"/>
    <w:rsid w:val="000A3082"/>
    <w:rsid w:val="000C5926"/>
    <w:rsid w:val="000D38D9"/>
    <w:rsid w:val="00102EA0"/>
    <w:rsid w:val="001144A1"/>
    <w:rsid w:val="001243EF"/>
    <w:rsid w:val="001628AE"/>
    <w:rsid w:val="001A0B94"/>
    <w:rsid w:val="001D2323"/>
    <w:rsid w:val="001D33C5"/>
    <w:rsid w:val="0021353F"/>
    <w:rsid w:val="00283202"/>
    <w:rsid w:val="002F696F"/>
    <w:rsid w:val="00313CC1"/>
    <w:rsid w:val="00324CB2"/>
    <w:rsid w:val="00325AC7"/>
    <w:rsid w:val="003714BD"/>
    <w:rsid w:val="003F7BB0"/>
    <w:rsid w:val="00456D24"/>
    <w:rsid w:val="00486436"/>
    <w:rsid w:val="004D63E0"/>
    <w:rsid w:val="004F7AE5"/>
    <w:rsid w:val="00550CA2"/>
    <w:rsid w:val="005B0F26"/>
    <w:rsid w:val="00635087"/>
    <w:rsid w:val="006633CD"/>
    <w:rsid w:val="006D197E"/>
    <w:rsid w:val="006D1A08"/>
    <w:rsid w:val="006D2FE3"/>
    <w:rsid w:val="006E0BD7"/>
    <w:rsid w:val="00716B47"/>
    <w:rsid w:val="00727EAE"/>
    <w:rsid w:val="00731CA8"/>
    <w:rsid w:val="007444A4"/>
    <w:rsid w:val="0075552C"/>
    <w:rsid w:val="00764578"/>
    <w:rsid w:val="00796052"/>
    <w:rsid w:val="007A1D72"/>
    <w:rsid w:val="007B2D68"/>
    <w:rsid w:val="007C26E2"/>
    <w:rsid w:val="007E1C18"/>
    <w:rsid w:val="007E26CB"/>
    <w:rsid w:val="007E3416"/>
    <w:rsid w:val="007F28FD"/>
    <w:rsid w:val="0080675B"/>
    <w:rsid w:val="00816947"/>
    <w:rsid w:val="00871A9A"/>
    <w:rsid w:val="008C3ED2"/>
    <w:rsid w:val="008E2FD2"/>
    <w:rsid w:val="008F18D0"/>
    <w:rsid w:val="008F28BE"/>
    <w:rsid w:val="009069B0"/>
    <w:rsid w:val="0092727C"/>
    <w:rsid w:val="00967409"/>
    <w:rsid w:val="009D331F"/>
    <w:rsid w:val="00A62DF8"/>
    <w:rsid w:val="00A845A2"/>
    <w:rsid w:val="00AA4591"/>
    <w:rsid w:val="00AD3A61"/>
    <w:rsid w:val="00AE50B5"/>
    <w:rsid w:val="00B12432"/>
    <w:rsid w:val="00B724CC"/>
    <w:rsid w:val="00B8077F"/>
    <w:rsid w:val="00B8269B"/>
    <w:rsid w:val="00BE1A75"/>
    <w:rsid w:val="00C0223B"/>
    <w:rsid w:val="00C0467F"/>
    <w:rsid w:val="00C07669"/>
    <w:rsid w:val="00C439F7"/>
    <w:rsid w:val="00C47FE1"/>
    <w:rsid w:val="00C903C2"/>
    <w:rsid w:val="00CE27DD"/>
    <w:rsid w:val="00D64EA4"/>
    <w:rsid w:val="00DB585F"/>
    <w:rsid w:val="00DE746C"/>
    <w:rsid w:val="00EA155A"/>
    <w:rsid w:val="00EF30B1"/>
    <w:rsid w:val="00F31D97"/>
    <w:rsid w:val="00F508F6"/>
    <w:rsid w:val="00F85F1D"/>
    <w:rsid w:val="00FA1F04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F982"/>
  <w15:chartTrackingRefBased/>
  <w15:docId w15:val="{E4C5D897-CC96-470D-B881-9D283D9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416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3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31D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oha">
    <w:name w:val="Příloha"/>
    <w:basedOn w:val="Normln"/>
    <w:next w:val="Normln"/>
    <w:rsid w:val="00F31D97"/>
    <w:pPr>
      <w:spacing w:after="0" w:line="240" w:lineRule="auto"/>
      <w:jc w:val="both"/>
    </w:pPr>
    <w:rPr>
      <w:rFonts w:ascii="Tahoma" w:eastAsia="Times New Roman" w:hAnsi="Tahoma" w:cs="Tahoma"/>
      <w:b/>
      <w:sz w:val="20"/>
      <w:szCs w:val="20"/>
    </w:rPr>
  </w:style>
  <w:style w:type="table" w:styleId="Mkatabulky">
    <w:name w:val="Table Grid"/>
    <w:basedOn w:val="Normlntabulka"/>
    <w:uiPriority w:val="59"/>
    <w:rsid w:val="00F31D9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D9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6D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D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D2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D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D24"/>
    <w:rPr>
      <w:rFonts w:eastAsiaTheme="minorEastAsia"/>
      <w:b/>
      <w:bCs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C07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C076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33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331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331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9987-D2A9-4495-A459-426A8EB9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740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Jiří Mgr.</dc:creator>
  <cp:keywords/>
  <dc:description/>
  <cp:lastModifiedBy>Zeman Jiří Mgr.</cp:lastModifiedBy>
  <cp:revision>23</cp:revision>
  <cp:lastPrinted>2025-11-05T14:14:00Z</cp:lastPrinted>
  <dcterms:created xsi:type="dcterms:W3CDTF">2025-11-06T12:17:00Z</dcterms:created>
  <dcterms:modified xsi:type="dcterms:W3CDTF">2025-11-27T10:34:00Z</dcterms:modified>
</cp:coreProperties>
</file>