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6CC53" w14:textId="77777777" w:rsidR="00A44AF8" w:rsidRPr="00CE610C" w:rsidRDefault="004105E9">
      <w:pPr>
        <w:rPr>
          <w:color w:val="2F5496"/>
          <w:sz w:val="32"/>
          <w:szCs w:val="32"/>
          <w:lang w:val="en-GB"/>
        </w:rPr>
      </w:pPr>
      <w:r w:rsidRPr="00CE610C">
        <w:rPr>
          <w:color w:val="2F5496"/>
          <w:sz w:val="32"/>
          <w:szCs w:val="32"/>
          <w:lang w:val="en-GB"/>
        </w:rPr>
        <w:t>Content of the technical specification</w:t>
      </w:r>
    </w:p>
    <w:p w14:paraId="0EB98C0F" w14:textId="77777777" w:rsidR="00A44AF8" w:rsidRPr="00CE610C" w:rsidRDefault="004105E9">
      <w:pPr>
        <w:pStyle w:val="Nadpis3"/>
        <w:numPr>
          <w:ilvl w:val="0"/>
          <w:numId w:val="20"/>
        </w:numPr>
        <w:ind w:left="357" w:hanging="357"/>
        <w:rPr>
          <w:lang w:val="en-GB"/>
        </w:rPr>
      </w:pPr>
      <w:r w:rsidRPr="00CE610C">
        <w:rPr>
          <w:lang w:val="en-GB"/>
        </w:rPr>
        <w:t>Objective and Purpose of the Public Contract</w:t>
      </w:r>
    </w:p>
    <w:p w14:paraId="7F3ED152" w14:textId="77777777" w:rsidR="00A44AF8" w:rsidRPr="00CE610C" w:rsidRDefault="004105E9">
      <w:pPr>
        <w:numPr>
          <w:ilvl w:val="0"/>
          <w:numId w:val="14"/>
        </w:numPr>
        <w:spacing w:after="0"/>
        <w:ind w:left="714" w:hanging="357"/>
        <w:rPr>
          <w:lang w:val="en-GB"/>
        </w:rPr>
      </w:pPr>
      <w:r w:rsidRPr="00CE610C">
        <w:rPr>
          <w:lang w:val="en-GB"/>
        </w:rPr>
        <w:t>Description of the vision for the regional data space</w:t>
      </w:r>
    </w:p>
    <w:p w14:paraId="27F127A2" w14:textId="77777777" w:rsidR="00A44AF8" w:rsidRPr="00CE610C" w:rsidRDefault="004105E9">
      <w:pPr>
        <w:numPr>
          <w:ilvl w:val="0"/>
          <w:numId w:val="14"/>
        </w:numPr>
        <w:spacing w:after="0"/>
        <w:ind w:left="714" w:hanging="357"/>
        <w:rPr>
          <w:lang w:val="en-GB"/>
        </w:rPr>
      </w:pPr>
      <w:r w:rsidRPr="00CE610C">
        <w:rPr>
          <w:lang w:val="en-GB"/>
        </w:rPr>
        <w:t>Strategic importance of the solution for the contracting authority and its partners</w:t>
      </w:r>
    </w:p>
    <w:p w14:paraId="698A3A9B" w14:textId="77777777" w:rsidR="00A44AF8" w:rsidRPr="00CE610C" w:rsidRDefault="004105E9">
      <w:pPr>
        <w:numPr>
          <w:ilvl w:val="0"/>
          <w:numId w:val="14"/>
        </w:numPr>
        <w:spacing w:after="0"/>
        <w:ind w:left="714" w:hanging="357"/>
        <w:rPr>
          <w:lang w:val="en-GB"/>
        </w:rPr>
      </w:pPr>
      <w:r w:rsidRPr="00CE610C">
        <w:rPr>
          <w:lang w:val="en-GB"/>
        </w:rPr>
        <w:t>Relation to European initiatives (Data Spaces Support Centre, GAIA-X, IDSA, iSHARE, EDWG)</w:t>
      </w:r>
    </w:p>
    <w:p w14:paraId="76F73475" w14:textId="77777777" w:rsidR="00A44AF8" w:rsidRPr="00CE610C" w:rsidRDefault="004105E9">
      <w:pPr>
        <w:pStyle w:val="Nadpis3"/>
        <w:numPr>
          <w:ilvl w:val="0"/>
          <w:numId w:val="20"/>
        </w:numPr>
        <w:rPr>
          <w:lang w:val="en-GB"/>
        </w:rPr>
      </w:pPr>
      <w:r w:rsidRPr="00CE610C">
        <w:rPr>
          <w:lang w:val="en-GB"/>
        </w:rPr>
        <w:t>Scope of Delivery</w:t>
      </w:r>
    </w:p>
    <w:p w14:paraId="04A458C7" w14:textId="6ACF9B29" w:rsidR="00A44AF8" w:rsidRPr="00CE610C" w:rsidRDefault="004105E9">
      <w:pPr>
        <w:numPr>
          <w:ilvl w:val="0"/>
          <w:numId w:val="14"/>
        </w:numPr>
        <w:spacing w:after="0"/>
        <w:ind w:left="714" w:hanging="357"/>
        <w:rPr>
          <w:lang w:val="en-GB"/>
        </w:rPr>
      </w:pPr>
      <w:r w:rsidRPr="00CE610C">
        <w:rPr>
          <w:lang w:val="en-GB"/>
        </w:rPr>
        <w:t xml:space="preserve">Design, implementation, and pilot operation of </w:t>
      </w:r>
      <w:r w:rsidR="00904697" w:rsidRPr="00CE610C">
        <w:rPr>
          <w:lang w:val="en-GB"/>
        </w:rPr>
        <w:t>a scalable</w:t>
      </w:r>
      <w:r w:rsidRPr="00CE610C">
        <w:rPr>
          <w:lang w:val="en-GB"/>
        </w:rPr>
        <w:t xml:space="preserve"> data space technology architecture</w:t>
      </w:r>
      <w:r w:rsidR="00904697" w:rsidRPr="00CE610C">
        <w:rPr>
          <w:lang w:val="en-GB"/>
        </w:rPr>
        <w:t xml:space="preserve"> with an anticipated scope of up to 100 connectors, with the possibility </w:t>
      </w:r>
      <w:r w:rsidR="00CE610C">
        <w:rPr>
          <w:lang w:val="en-GB"/>
        </w:rPr>
        <w:t>o</w:t>
      </w:r>
      <w:r w:rsidR="00904697" w:rsidRPr="00CE610C">
        <w:rPr>
          <w:lang w:val="en-GB"/>
        </w:rPr>
        <w:t>f future expansion without the need for a complete system reconstruction.”</w:t>
      </w:r>
    </w:p>
    <w:p w14:paraId="2FEE8FE7" w14:textId="77777777" w:rsidR="00A44AF8" w:rsidRPr="00CE610C" w:rsidRDefault="004105E9">
      <w:pPr>
        <w:numPr>
          <w:ilvl w:val="0"/>
          <w:numId w:val="14"/>
        </w:numPr>
        <w:spacing w:after="0"/>
        <w:ind w:left="714" w:hanging="357"/>
        <w:rPr>
          <w:lang w:val="en-GB"/>
        </w:rPr>
      </w:pPr>
      <w:r w:rsidRPr="00CE610C">
        <w:rPr>
          <w:lang w:val="en-GB"/>
        </w:rPr>
        <w:t>Ensuring compliance with the IDSA Reference Architecture Model (IDS-RAM)</w:t>
      </w:r>
    </w:p>
    <w:p w14:paraId="6E1360F0" w14:textId="0BD3C438" w:rsidR="00A44AF8" w:rsidRPr="00CE610C" w:rsidRDefault="00CE610C" w:rsidP="00CE610C">
      <w:pPr>
        <w:numPr>
          <w:ilvl w:val="0"/>
          <w:numId w:val="14"/>
        </w:numPr>
        <w:spacing w:after="0"/>
        <w:ind w:left="714" w:hanging="357"/>
        <w:jc w:val="both"/>
        <w:rPr>
          <w:lang w:val="en-GB"/>
        </w:rPr>
      </w:pPr>
      <w:r>
        <w:rPr>
          <w:lang w:val="en-GB"/>
        </w:rPr>
        <w:t>Compliance</w:t>
      </w:r>
      <w:r w:rsidR="004105E9" w:rsidRPr="00CE610C">
        <w:rPr>
          <w:lang w:val="en-GB"/>
        </w:rPr>
        <w:t xml:space="preserve"> with common European data space trust framework (e.g. GAIA-X, iSHARE)</w:t>
      </w:r>
    </w:p>
    <w:p w14:paraId="787AD716" w14:textId="77777777" w:rsidR="00A44AF8" w:rsidRPr="00CE610C" w:rsidRDefault="004105E9">
      <w:pPr>
        <w:numPr>
          <w:ilvl w:val="0"/>
          <w:numId w:val="14"/>
        </w:numPr>
        <w:spacing w:after="0"/>
        <w:ind w:left="714" w:hanging="357"/>
        <w:rPr>
          <w:lang w:val="en-GB"/>
        </w:rPr>
      </w:pPr>
      <w:r w:rsidRPr="00CE610C">
        <w:rPr>
          <w:lang w:val="en-GB"/>
        </w:rPr>
        <w:t>Delivery of components: Connector, Identity Provider, Metadata Broker, Clearing House, etc.</w:t>
      </w:r>
    </w:p>
    <w:p w14:paraId="1B9A6998" w14:textId="77777777" w:rsidR="00A44AF8" w:rsidRPr="00CE610C" w:rsidRDefault="004105E9">
      <w:pPr>
        <w:numPr>
          <w:ilvl w:val="0"/>
          <w:numId w:val="14"/>
        </w:numPr>
        <w:spacing w:after="0"/>
        <w:ind w:left="714" w:hanging="357"/>
        <w:rPr>
          <w:lang w:val="en-GB"/>
        </w:rPr>
      </w:pPr>
      <w:r w:rsidRPr="00CE610C">
        <w:rPr>
          <w:lang w:val="en-GB"/>
        </w:rPr>
        <w:t>Provision of support and documentation</w:t>
      </w:r>
    </w:p>
    <w:p w14:paraId="0DD1B6C7" w14:textId="77777777" w:rsidR="00A44AF8" w:rsidRPr="00CE610C" w:rsidRDefault="004105E9">
      <w:pPr>
        <w:pStyle w:val="Nadpis3"/>
        <w:numPr>
          <w:ilvl w:val="0"/>
          <w:numId w:val="20"/>
        </w:numPr>
        <w:ind w:left="357" w:hanging="357"/>
        <w:rPr>
          <w:lang w:val="en-GB"/>
        </w:rPr>
      </w:pPr>
      <w:r w:rsidRPr="00CE610C">
        <w:rPr>
          <w:lang w:val="en-GB"/>
        </w:rPr>
        <w:t>Functional Requirements</w:t>
      </w:r>
    </w:p>
    <w:p w14:paraId="415D9981" w14:textId="77777777" w:rsidR="00A44AF8" w:rsidRPr="00CE610C" w:rsidRDefault="004105E9">
      <w:pPr>
        <w:numPr>
          <w:ilvl w:val="0"/>
          <w:numId w:val="14"/>
        </w:numPr>
        <w:spacing w:after="0"/>
        <w:ind w:left="714" w:hanging="357"/>
        <w:rPr>
          <w:lang w:val="en-GB"/>
        </w:rPr>
      </w:pPr>
      <w:r w:rsidRPr="00CE610C">
        <w:rPr>
          <w:lang w:val="en-GB"/>
        </w:rPr>
        <w:t>Capability for federated and decentralized operation</w:t>
      </w:r>
    </w:p>
    <w:p w14:paraId="3ED6BFF5" w14:textId="77777777" w:rsidR="00A44AF8" w:rsidRPr="00CE610C" w:rsidRDefault="004105E9">
      <w:pPr>
        <w:numPr>
          <w:ilvl w:val="0"/>
          <w:numId w:val="14"/>
        </w:numPr>
        <w:spacing w:after="0"/>
        <w:ind w:left="714" w:hanging="357"/>
        <w:rPr>
          <w:lang w:val="en-GB"/>
        </w:rPr>
      </w:pPr>
      <w:r w:rsidRPr="00CE610C">
        <w:rPr>
          <w:lang w:val="en-GB"/>
        </w:rPr>
        <w:t>Management of access rights and contractual conditions (data usage policies)</w:t>
      </w:r>
    </w:p>
    <w:p w14:paraId="4F8EE887" w14:textId="77777777" w:rsidR="00A44AF8" w:rsidRPr="00CE610C" w:rsidRDefault="004105E9">
      <w:pPr>
        <w:numPr>
          <w:ilvl w:val="0"/>
          <w:numId w:val="14"/>
        </w:numPr>
        <w:spacing w:after="0"/>
        <w:ind w:left="714" w:hanging="357"/>
        <w:rPr>
          <w:lang w:val="en-GB"/>
        </w:rPr>
      </w:pPr>
      <w:r w:rsidRPr="00CE610C">
        <w:rPr>
          <w:lang w:val="en-GB"/>
        </w:rPr>
        <w:t>Possibility to connect external participants (e.g., municipalities, emergency services, private operators)</w:t>
      </w:r>
    </w:p>
    <w:p w14:paraId="387B6AAB" w14:textId="77777777" w:rsidR="00A44AF8" w:rsidRPr="00CE610C" w:rsidRDefault="004105E9">
      <w:pPr>
        <w:numPr>
          <w:ilvl w:val="0"/>
          <w:numId w:val="14"/>
        </w:numPr>
        <w:spacing w:after="0"/>
        <w:ind w:left="714" w:hanging="357"/>
        <w:rPr>
          <w:lang w:val="en-GB"/>
        </w:rPr>
      </w:pPr>
      <w:r w:rsidRPr="00CE610C">
        <w:rPr>
          <w:lang w:val="en-GB"/>
        </w:rPr>
        <w:t>Auditability and traceability of data transfers</w:t>
      </w:r>
    </w:p>
    <w:p w14:paraId="71B803FA" w14:textId="77777777" w:rsidR="00A44AF8" w:rsidRPr="00CE610C" w:rsidRDefault="004105E9">
      <w:pPr>
        <w:pStyle w:val="Nadpis3"/>
        <w:numPr>
          <w:ilvl w:val="0"/>
          <w:numId w:val="20"/>
        </w:numPr>
        <w:ind w:left="357" w:hanging="357"/>
        <w:rPr>
          <w:lang w:val="en-GB"/>
        </w:rPr>
      </w:pPr>
      <w:r w:rsidRPr="00CE610C">
        <w:rPr>
          <w:lang w:val="en-GB"/>
        </w:rPr>
        <w:t>Technical Requirements</w:t>
      </w:r>
    </w:p>
    <w:p w14:paraId="3B7D7034" w14:textId="77777777" w:rsidR="00A44AF8" w:rsidRPr="00CE610C" w:rsidRDefault="004105E9">
      <w:pPr>
        <w:numPr>
          <w:ilvl w:val="0"/>
          <w:numId w:val="14"/>
        </w:numPr>
        <w:spacing w:after="0"/>
        <w:ind w:left="714" w:hanging="357"/>
        <w:rPr>
          <w:lang w:val="en-GB"/>
        </w:rPr>
      </w:pPr>
      <w:r w:rsidRPr="00CE610C">
        <w:rPr>
          <w:lang w:val="en-GB"/>
        </w:rPr>
        <w:t>Compatibility with open standards (IDS, GAIA-X, W3C, ISO/IEC, EDWG)</w:t>
      </w:r>
    </w:p>
    <w:p w14:paraId="56464166" w14:textId="77777777" w:rsidR="00A44AF8" w:rsidRPr="00CE610C" w:rsidRDefault="004105E9">
      <w:pPr>
        <w:numPr>
          <w:ilvl w:val="0"/>
          <w:numId w:val="14"/>
        </w:numPr>
        <w:spacing w:after="0"/>
        <w:ind w:left="714" w:hanging="357"/>
        <w:rPr>
          <w:lang w:val="en-GB"/>
        </w:rPr>
      </w:pPr>
      <w:r w:rsidRPr="00CE610C">
        <w:rPr>
          <w:lang w:val="en-GB"/>
        </w:rPr>
        <w:t>Usability in hybrid (cloud/on-premise) environments</w:t>
      </w:r>
    </w:p>
    <w:p w14:paraId="6047BCF8" w14:textId="77777777" w:rsidR="00A44AF8" w:rsidRPr="00CE610C" w:rsidRDefault="004105E9">
      <w:pPr>
        <w:numPr>
          <w:ilvl w:val="0"/>
          <w:numId w:val="14"/>
        </w:numPr>
        <w:spacing w:after="0"/>
        <w:ind w:left="714" w:hanging="357"/>
        <w:rPr>
          <w:lang w:val="en-GB"/>
        </w:rPr>
      </w:pPr>
      <w:r w:rsidRPr="00CE610C">
        <w:rPr>
          <w:lang w:val="en-GB"/>
        </w:rPr>
        <w:t>Support for European digital identity (EUDI Wallet, eIDAS 2.0)</w:t>
      </w:r>
    </w:p>
    <w:p w14:paraId="3B296AE8" w14:textId="77777777" w:rsidR="00A44AF8" w:rsidRPr="00CE610C" w:rsidRDefault="004105E9">
      <w:pPr>
        <w:numPr>
          <w:ilvl w:val="0"/>
          <w:numId w:val="14"/>
        </w:numPr>
        <w:spacing w:after="0"/>
        <w:ind w:left="714" w:hanging="357"/>
        <w:rPr>
          <w:lang w:val="en-GB"/>
        </w:rPr>
      </w:pPr>
      <w:r w:rsidRPr="00CE610C">
        <w:rPr>
          <w:lang w:val="en-GB"/>
        </w:rPr>
        <w:t>Demonstrated cybersecurity compliance (ENISA, NIS2 ready)</w:t>
      </w:r>
    </w:p>
    <w:p w14:paraId="3EF726F0" w14:textId="77777777" w:rsidR="00A44AF8" w:rsidRPr="00CE610C" w:rsidRDefault="004105E9">
      <w:pPr>
        <w:pStyle w:val="Nadpis3"/>
        <w:numPr>
          <w:ilvl w:val="0"/>
          <w:numId w:val="20"/>
        </w:numPr>
        <w:ind w:left="357" w:hanging="357"/>
        <w:rPr>
          <w:lang w:val="en-GB"/>
        </w:rPr>
      </w:pPr>
      <w:r w:rsidRPr="00CE610C">
        <w:rPr>
          <w:lang w:val="en-GB"/>
        </w:rPr>
        <w:t>Interoperability Requirements</w:t>
      </w:r>
    </w:p>
    <w:p w14:paraId="2A9DAB2B" w14:textId="77777777" w:rsidR="00A44AF8" w:rsidRPr="00CE610C" w:rsidRDefault="004105E9">
      <w:pPr>
        <w:numPr>
          <w:ilvl w:val="0"/>
          <w:numId w:val="14"/>
        </w:numPr>
        <w:spacing w:after="0"/>
        <w:ind w:left="714" w:hanging="357"/>
        <w:rPr>
          <w:lang w:val="en-GB"/>
        </w:rPr>
      </w:pPr>
      <w:r w:rsidRPr="00CE610C">
        <w:rPr>
          <w:lang w:val="en-GB"/>
        </w:rPr>
        <w:t>Interoperability with other European data spaces (e.g., mobility, tourism, health)</w:t>
      </w:r>
    </w:p>
    <w:p w14:paraId="7DBC4C43" w14:textId="77777777" w:rsidR="00A44AF8" w:rsidRPr="00CE610C" w:rsidRDefault="004105E9">
      <w:pPr>
        <w:numPr>
          <w:ilvl w:val="0"/>
          <w:numId w:val="14"/>
        </w:numPr>
        <w:spacing w:after="0"/>
        <w:ind w:left="714" w:hanging="357"/>
        <w:rPr>
          <w:lang w:val="en-GB"/>
        </w:rPr>
      </w:pPr>
      <w:r w:rsidRPr="00CE610C">
        <w:rPr>
          <w:lang w:val="en-GB"/>
        </w:rPr>
        <w:t>Support for standardized data models (e.g., DCAT-AP, NGSI-LD)</w:t>
      </w:r>
    </w:p>
    <w:p w14:paraId="3BC696A8" w14:textId="77777777" w:rsidR="00A44AF8" w:rsidRPr="00CE610C" w:rsidRDefault="004105E9">
      <w:pPr>
        <w:numPr>
          <w:ilvl w:val="0"/>
          <w:numId w:val="14"/>
        </w:numPr>
        <w:spacing w:after="0"/>
        <w:ind w:left="714" w:hanging="357"/>
        <w:rPr>
          <w:lang w:val="en-GB"/>
        </w:rPr>
      </w:pPr>
      <w:r w:rsidRPr="00CE610C">
        <w:rPr>
          <w:lang w:val="en-GB"/>
        </w:rPr>
        <w:t>Export of data to external analytical tools and BI systems</w:t>
      </w:r>
    </w:p>
    <w:p w14:paraId="4C8E8FA9" w14:textId="77777777" w:rsidR="00A44AF8" w:rsidRPr="00CE610C" w:rsidRDefault="004105E9">
      <w:pPr>
        <w:pStyle w:val="Nadpis3"/>
        <w:numPr>
          <w:ilvl w:val="0"/>
          <w:numId w:val="20"/>
        </w:numPr>
        <w:ind w:left="357" w:hanging="357"/>
        <w:rPr>
          <w:lang w:val="en-GB"/>
        </w:rPr>
      </w:pPr>
      <w:r w:rsidRPr="00CE610C">
        <w:rPr>
          <w:lang w:val="en-GB"/>
        </w:rPr>
        <w:t>Organizational and Implementation Requirements</w:t>
      </w:r>
    </w:p>
    <w:p w14:paraId="142A1E10" w14:textId="77777777" w:rsidR="00A44AF8" w:rsidRPr="00CE610C" w:rsidRDefault="004105E9">
      <w:pPr>
        <w:numPr>
          <w:ilvl w:val="0"/>
          <w:numId w:val="14"/>
        </w:numPr>
        <w:spacing w:after="0"/>
        <w:ind w:left="714" w:hanging="357"/>
        <w:rPr>
          <w:lang w:val="en-GB"/>
        </w:rPr>
      </w:pPr>
      <w:r w:rsidRPr="00CE610C">
        <w:rPr>
          <w:lang w:val="en-GB"/>
        </w:rPr>
        <w:t>Project phases (analysis, design, development, pilot operation, documentation)</w:t>
      </w:r>
    </w:p>
    <w:p w14:paraId="0A19E24B" w14:textId="4B863953" w:rsidR="001C3CE3" w:rsidRPr="00CE610C" w:rsidRDefault="001C3CE3" w:rsidP="001C3CE3">
      <w:pPr>
        <w:pStyle w:val="Nadpis3"/>
        <w:numPr>
          <w:ilvl w:val="0"/>
          <w:numId w:val="20"/>
        </w:numPr>
        <w:rPr>
          <w:lang w:val="en-GB"/>
        </w:rPr>
      </w:pPr>
      <w:r w:rsidRPr="00CE610C">
        <w:rPr>
          <w:lang w:val="en-GB"/>
        </w:rPr>
        <w:t>Glossary of data space terms</w:t>
      </w:r>
    </w:p>
    <w:p w14:paraId="6539ECD6" w14:textId="77777777" w:rsidR="00E11352" w:rsidRPr="00CE610C" w:rsidRDefault="00E11352">
      <w:pPr>
        <w:rPr>
          <w:color w:val="2F5496"/>
          <w:sz w:val="32"/>
          <w:szCs w:val="32"/>
          <w:lang w:val="en-GB"/>
        </w:rPr>
      </w:pPr>
      <w:bookmarkStart w:id="0" w:name="_heading=h.ax5b6fsd44gh" w:colFirst="0" w:colLast="0"/>
      <w:bookmarkEnd w:id="0"/>
      <w:r w:rsidRPr="00CE610C">
        <w:rPr>
          <w:lang w:val="en-GB"/>
        </w:rPr>
        <w:br w:type="page"/>
      </w:r>
    </w:p>
    <w:p w14:paraId="25FDA6E5" w14:textId="2D3F01EF" w:rsidR="00A44AF8" w:rsidRPr="00CE610C" w:rsidRDefault="004105E9">
      <w:pPr>
        <w:pStyle w:val="Nadpis2"/>
        <w:numPr>
          <w:ilvl w:val="0"/>
          <w:numId w:val="3"/>
        </w:numPr>
        <w:rPr>
          <w:lang w:val="en-GB"/>
        </w:rPr>
      </w:pPr>
      <w:r w:rsidRPr="00CE610C">
        <w:rPr>
          <w:lang w:val="en-GB"/>
        </w:rPr>
        <w:lastRenderedPageBreak/>
        <w:t>Introduction to the technical specifications</w:t>
      </w:r>
    </w:p>
    <w:p w14:paraId="0EF85E0F" w14:textId="77777777" w:rsidR="00A44AF8" w:rsidRPr="00CE610C" w:rsidRDefault="004105E9" w:rsidP="00E11352">
      <w:pPr>
        <w:jc w:val="both"/>
        <w:rPr>
          <w:lang w:val="en-GB"/>
        </w:rPr>
      </w:pPr>
      <w:r w:rsidRPr="00CE610C">
        <w:rPr>
          <w:lang w:val="en-GB"/>
        </w:rPr>
        <w:t xml:space="preserve">The regional authority (hereinafter referred to as the “Contracting Authority”) is preparing a public procurement procedure for the selection of a technology and services provider to implement and pilot a </w:t>
      </w:r>
      <w:r w:rsidRPr="00CE610C">
        <w:rPr>
          <w:b/>
          <w:lang w:val="en-GB"/>
        </w:rPr>
        <w:t>data space</w:t>
      </w:r>
      <w:r w:rsidRPr="00CE610C">
        <w:rPr>
          <w:lang w:val="en-GB"/>
        </w:rPr>
        <w:t xml:space="preserve"> in accordance with the IDSA reference architecture and rulebook and common European data space trust frameworks (e.g. GAIA-X, iSHARE, ...).. This data space will serve as a foundation for </w:t>
      </w:r>
      <w:r w:rsidRPr="00CE610C">
        <w:rPr>
          <w:b/>
          <w:lang w:val="en-GB"/>
        </w:rPr>
        <w:t>interoperable, secure, and trustworthy data sharing</w:t>
      </w:r>
      <w:r w:rsidRPr="00CE610C">
        <w:rPr>
          <w:lang w:val="en-GB"/>
        </w:rPr>
        <w:t xml:space="preserve"> among various actors in public administration, the private sector, and research organizations in the field of tourism and related sectors.</w:t>
      </w:r>
    </w:p>
    <w:p w14:paraId="693D2822" w14:textId="77777777" w:rsidR="00A44AF8" w:rsidRPr="00CE610C" w:rsidRDefault="004105E9" w:rsidP="00E11352">
      <w:pPr>
        <w:jc w:val="both"/>
        <w:rPr>
          <w:lang w:val="en-GB"/>
        </w:rPr>
      </w:pPr>
      <w:r w:rsidRPr="00CE610C">
        <w:rPr>
          <w:lang w:val="en-GB"/>
        </w:rPr>
        <w:t xml:space="preserve">This document serves as </w:t>
      </w:r>
      <w:r w:rsidRPr="00CE610C">
        <w:rPr>
          <w:b/>
          <w:lang w:val="en-GB"/>
        </w:rPr>
        <w:t>the technical specification</w:t>
      </w:r>
      <w:r w:rsidRPr="00CE610C">
        <w:rPr>
          <w:lang w:val="en-GB"/>
        </w:rPr>
        <w:t xml:space="preserve"> outlining the Contracting Authority's preliminary requirements for the subject of the contract and establishing the structure through which specific parameters, schedules, and requirements for interoperability, scalability, and security will be refined during the negotiation process.</w:t>
      </w:r>
    </w:p>
    <w:p w14:paraId="6A399384" w14:textId="77777777" w:rsidR="00A44AF8" w:rsidRPr="00CE610C" w:rsidRDefault="004105E9">
      <w:pPr>
        <w:pStyle w:val="Nadpis2"/>
        <w:numPr>
          <w:ilvl w:val="0"/>
          <w:numId w:val="3"/>
        </w:numPr>
        <w:rPr>
          <w:lang w:val="en-GB"/>
        </w:rPr>
      </w:pPr>
      <w:r w:rsidRPr="00CE610C">
        <w:rPr>
          <w:lang w:val="en-GB"/>
        </w:rPr>
        <w:t>Scope of Delivery</w:t>
      </w:r>
    </w:p>
    <w:p w14:paraId="3DDD0FC3" w14:textId="77777777" w:rsidR="00A44AF8" w:rsidRPr="00CE610C" w:rsidRDefault="004105E9" w:rsidP="00E11352">
      <w:pPr>
        <w:jc w:val="both"/>
        <w:rPr>
          <w:lang w:val="en-GB"/>
        </w:rPr>
      </w:pPr>
      <w:r w:rsidRPr="00CE610C">
        <w:rPr>
          <w:lang w:val="en-GB"/>
        </w:rPr>
        <w:t xml:space="preserve">The subject of this public contract is the design, delivery, implementation, and pilot operation of a </w:t>
      </w:r>
      <w:r w:rsidRPr="00CE610C">
        <w:rPr>
          <w:b/>
          <w:lang w:val="en-GB"/>
        </w:rPr>
        <w:t>Data Space</w:t>
      </w:r>
      <w:r w:rsidRPr="00CE610C">
        <w:rPr>
          <w:lang w:val="en-GB"/>
        </w:rPr>
        <w:t>, which must comply with the technical and organizational principles defined by the following standards:</w:t>
      </w:r>
    </w:p>
    <w:p w14:paraId="64B27964" w14:textId="77777777" w:rsidR="00A44AF8" w:rsidRPr="00CE610C" w:rsidRDefault="004105E9">
      <w:pPr>
        <w:numPr>
          <w:ilvl w:val="0"/>
          <w:numId w:val="10"/>
        </w:numPr>
        <w:rPr>
          <w:b/>
          <w:lang w:val="en-GB"/>
        </w:rPr>
      </w:pPr>
      <w:r w:rsidRPr="00CE610C">
        <w:rPr>
          <w:lang w:val="en-GB"/>
        </w:rPr>
        <w:t>the IDSA reference architecture and rulebook and common European data space trust frameworks (e.g. GAIA-X, iSHARE, ...).</w:t>
      </w:r>
    </w:p>
    <w:p w14:paraId="2DE7CB18" w14:textId="77777777" w:rsidR="00A44AF8" w:rsidRPr="00CE610C" w:rsidRDefault="004105E9">
      <w:pPr>
        <w:numPr>
          <w:ilvl w:val="0"/>
          <w:numId w:val="10"/>
        </w:numPr>
        <w:rPr>
          <w:lang w:val="en-GB"/>
        </w:rPr>
      </w:pPr>
      <w:r w:rsidRPr="00CE610C">
        <w:rPr>
          <w:lang w:val="en-GB"/>
        </w:rPr>
        <w:t>and other relevant specifications published by the</w:t>
      </w:r>
      <w:r w:rsidRPr="00CE610C">
        <w:rPr>
          <w:b/>
          <w:lang w:val="en-GB"/>
        </w:rPr>
        <w:t xml:space="preserve"> Data Spaces Support Centre (DSSC).</w:t>
      </w:r>
    </w:p>
    <w:p w14:paraId="3067226C" w14:textId="77777777" w:rsidR="00A44AF8" w:rsidRPr="00CE610C" w:rsidRDefault="004105E9" w:rsidP="00E11352">
      <w:pPr>
        <w:jc w:val="both"/>
        <w:rPr>
          <w:lang w:val="en-GB"/>
        </w:rPr>
      </w:pPr>
      <w:r w:rsidRPr="00CE610C">
        <w:rPr>
          <w:lang w:val="en-GB"/>
        </w:rPr>
        <w:t xml:space="preserve">The objective is to enable </w:t>
      </w:r>
      <w:r w:rsidRPr="00CE610C">
        <w:rPr>
          <w:b/>
          <w:lang w:val="en-GB"/>
        </w:rPr>
        <w:t>secure, sovereign, auditable, and contractually governed data sharing</w:t>
      </w:r>
      <w:r w:rsidRPr="00CE610C">
        <w:rPr>
          <w:lang w:val="en-GB"/>
        </w:rPr>
        <w:t xml:space="preserve"> among various types of participants (e.g., public administration, municipalities, emergency services, research organizations, private companies) within a single federated ecosystem.</w:t>
      </w:r>
    </w:p>
    <w:p w14:paraId="7FA066BE" w14:textId="77777777" w:rsidR="00A44AF8" w:rsidRPr="00CE610C" w:rsidRDefault="004105E9">
      <w:pPr>
        <w:pStyle w:val="Nadpis3"/>
        <w:numPr>
          <w:ilvl w:val="1"/>
          <w:numId w:val="15"/>
        </w:numPr>
        <w:ind w:left="1418" w:hanging="1058"/>
        <w:rPr>
          <w:lang w:val="en-GB"/>
        </w:rPr>
      </w:pPr>
      <w:r w:rsidRPr="00CE610C">
        <w:rPr>
          <w:lang w:val="en-GB"/>
        </w:rPr>
        <w:t>Components of the Delivery</w:t>
      </w:r>
    </w:p>
    <w:p w14:paraId="47927B3D" w14:textId="77777777" w:rsidR="00A44AF8" w:rsidRPr="00CE610C" w:rsidRDefault="004105E9">
      <w:pPr>
        <w:rPr>
          <w:lang w:val="en-GB"/>
        </w:rPr>
      </w:pPr>
      <w:r w:rsidRPr="00CE610C">
        <w:rPr>
          <w:lang w:val="en-GB"/>
        </w:rPr>
        <w:t>The delivery consists of the following core elements:</w:t>
      </w:r>
    </w:p>
    <w:p w14:paraId="598EA282" w14:textId="77777777" w:rsidR="00A44AF8" w:rsidRPr="00CE610C" w:rsidRDefault="004105E9">
      <w:pPr>
        <w:pStyle w:val="Nadpis4"/>
        <w:numPr>
          <w:ilvl w:val="0"/>
          <w:numId w:val="11"/>
        </w:numPr>
        <w:ind w:left="357" w:hanging="357"/>
        <w:rPr>
          <w:lang w:val="en-GB"/>
        </w:rPr>
      </w:pPr>
      <w:r w:rsidRPr="00CE610C">
        <w:rPr>
          <w:lang w:val="en-GB"/>
        </w:rPr>
        <w:t>Design and Delivery of Data Space Components</w:t>
      </w:r>
    </w:p>
    <w:p w14:paraId="4FFD3CC7" w14:textId="77777777" w:rsidR="00A44AF8" w:rsidRPr="00CE610C" w:rsidRDefault="004105E9" w:rsidP="00E11352">
      <w:pPr>
        <w:jc w:val="both"/>
        <w:rPr>
          <w:lang w:val="en-GB"/>
        </w:rPr>
      </w:pPr>
      <w:r w:rsidRPr="00CE610C">
        <w:rPr>
          <w:lang w:val="en-GB"/>
        </w:rPr>
        <w:t>The contractor shall design, implement, and deploy the following software components, which together will constitute a functional Data Space in accordance with principles of the IDSA reference architecture and rulebook and common European data space trust frameworks (e.g. GAIA-X, iSHARE, ...).</w:t>
      </w:r>
    </w:p>
    <w:p w14:paraId="7B6AFE7D" w14:textId="77777777" w:rsidR="00E11352" w:rsidRPr="00CE610C" w:rsidRDefault="00E11352">
      <w:pPr>
        <w:rPr>
          <w:lang w:val="en-GB"/>
        </w:rPr>
      </w:pPr>
      <w:r w:rsidRPr="00CE610C">
        <w:rPr>
          <w:lang w:val="en-GB"/>
        </w:rPr>
        <w:br w:type="page"/>
      </w:r>
    </w:p>
    <w:tbl>
      <w:tblPr>
        <w:tblStyle w:val="a"/>
        <w:tblW w:w="9062" w:type="dxa"/>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2461"/>
        <w:gridCol w:w="6601"/>
      </w:tblGrid>
      <w:tr w:rsidR="00A44AF8" w:rsidRPr="00CE610C" w14:paraId="68F8D79F" w14:textId="77777777">
        <w:trPr>
          <w:tblHeader/>
        </w:trPr>
        <w:tc>
          <w:tcPr>
            <w:tcW w:w="2461" w:type="dxa"/>
            <w:vAlign w:val="center"/>
          </w:tcPr>
          <w:p w14:paraId="2574C40A" w14:textId="7A3FC4BA" w:rsidR="00A44AF8" w:rsidRPr="00CE610C" w:rsidRDefault="004105E9">
            <w:pPr>
              <w:spacing w:after="0" w:line="276" w:lineRule="auto"/>
              <w:rPr>
                <w:b/>
                <w:lang w:val="en-GB"/>
              </w:rPr>
            </w:pPr>
            <w:r w:rsidRPr="00CE610C">
              <w:rPr>
                <w:b/>
                <w:lang w:val="en-GB"/>
              </w:rPr>
              <w:lastRenderedPageBreak/>
              <w:t>Component</w:t>
            </w:r>
          </w:p>
        </w:tc>
        <w:tc>
          <w:tcPr>
            <w:tcW w:w="6601" w:type="dxa"/>
            <w:vAlign w:val="center"/>
          </w:tcPr>
          <w:p w14:paraId="0B91871B" w14:textId="77777777" w:rsidR="00A44AF8" w:rsidRPr="00CE610C" w:rsidRDefault="004105E9">
            <w:pPr>
              <w:spacing w:after="0" w:line="276" w:lineRule="auto"/>
              <w:rPr>
                <w:b/>
                <w:lang w:val="en-GB"/>
              </w:rPr>
            </w:pPr>
            <w:r w:rsidRPr="00CE610C">
              <w:rPr>
                <w:b/>
                <w:lang w:val="en-GB"/>
              </w:rPr>
              <w:t>Function Description</w:t>
            </w:r>
          </w:p>
        </w:tc>
      </w:tr>
      <w:tr w:rsidR="00A44AF8" w:rsidRPr="00CE610C" w14:paraId="324CFB1F" w14:textId="77777777">
        <w:tc>
          <w:tcPr>
            <w:tcW w:w="2461" w:type="dxa"/>
            <w:vAlign w:val="center"/>
          </w:tcPr>
          <w:p w14:paraId="2D74CD2C" w14:textId="77777777" w:rsidR="00A44AF8" w:rsidRPr="00CE610C" w:rsidRDefault="004105E9">
            <w:pPr>
              <w:spacing w:after="0" w:line="276" w:lineRule="auto"/>
              <w:rPr>
                <w:b/>
                <w:lang w:val="en-GB"/>
              </w:rPr>
            </w:pPr>
            <w:r w:rsidRPr="00CE610C">
              <w:rPr>
                <w:b/>
                <w:lang w:val="en-GB"/>
              </w:rPr>
              <w:t>Data Space Connector (e.g. IDS, EDC, ...)</w:t>
            </w:r>
          </w:p>
        </w:tc>
        <w:tc>
          <w:tcPr>
            <w:tcW w:w="6601" w:type="dxa"/>
            <w:vAlign w:val="center"/>
          </w:tcPr>
          <w:p w14:paraId="74EFE5BA" w14:textId="77777777" w:rsidR="00A44AF8" w:rsidRPr="00CE610C" w:rsidRDefault="004105E9">
            <w:pPr>
              <w:spacing w:after="0" w:line="276" w:lineRule="auto"/>
              <w:rPr>
                <w:lang w:val="en-GB"/>
              </w:rPr>
            </w:pPr>
            <w:r w:rsidRPr="00CE610C">
              <w:rPr>
                <w:lang w:val="en-GB"/>
              </w:rPr>
              <w:t>Enables uploading, sharing, and receiving data between participants, ensuring data sovereignty and controlled access.</w:t>
            </w:r>
          </w:p>
        </w:tc>
      </w:tr>
      <w:tr w:rsidR="00A44AF8" w:rsidRPr="00CE610C" w14:paraId="456188A6" w14:textId="77777777">
        <w:tc>
          <w:tcPr>
            <w:tcW w:w="2461" w:type="dxa"/>
            <w:vAlign w:val="center"/>
          </w:tcPr>
          <w:p w14:paraId="4E4A9320" w14:textId="77777777" w:rsidR="00A44AF8" w:rsidRPr="00CE610C" w:rsidRDefault="004105E9">
            <w:pPr>
              <w:spacing w:after="0" w:line="276" w:lineRule="auto"/>
              <w:rPr>
                <w:lang w:val="en-GB"/>
              </w:rPr>
            </w:pPr>
            <w:r w:rsidRPr="00CE610C">
              <w:rPr>
                <w:b/>
                <w:lang w:val="en-GB"/>
              </w:rPr>
              <w:t>Identity Provider</w:t>
            </w:r>
          </w:p>
        </w:tc>
        <w:tc>
          <w:tcPr>
            <w:tcW w:w="6601" w:type="dxa"/>
            <w:vAlign w:val="center"/>
          </w:tcPr>
          <w:p w14:paraId="1DFB1BAD" w14:textId="77777777" w:rsidR="00A44AF8" w:rsidRPr="00CE610C" w:rsidRDefault="004105E9">
            <w:pPr>
              <w:spacing w:after="0" w:line="276" w:lineRule="auto"/>
              <w:rPr>
                <w:lang w:val="en-GB"/>
              </w:rPr>
            </w:pPr>
            <w:r w:rsidRPr="00CE610C">
              <w:rPr>
                <w:lang w:val="en-GB"/>
              </w:rPr>
              <w:t>Manages authentication and identity services in accordance with a common European data space trust framework (e.g. GAIA-X, iSHARE, ...).</w:t>
            </w:r>
          </w:p>
        </w:tc>
      </w:tr>
      <w:tr w:rsidR="00A44AF8" w:rsidRPr="00CE610C" w14:paraId="503824C1" w14:textId="77777777">
        <w:tc>
          <w:tcPr>
            <w:tcW w:w="2461" w:type="dxa"/>
            <w:vAlign w:val="center"/>
          </w:tcPr>
          <w:p w14:paraId="49C4291D" w14:textId="77777777" w:rsidR="00A44AF8" w:rsidRPr="00CE610C" w:rsidRDefault="004105E9">
            <w:pPr>
              <w:spacing w:after="0" w:line="276" w:lineRule="auto"/>
              <w:rPr>
                <w:lang w:val="en-GB"/>
              </w:rPr>
            </w:pPr>
            <w:r w:rsidRPr="00CE610C">
              <w:rPr>
                <w:b/>
                <w:lang w:val="en-GB"/>
              </w:rPr>
              <w:t>Participant Registry</w:t>
            </w:r>
          </w:p>
        </w:tc>
        <w:tc>
          <w:tcPr>
            <w:tcW w:w="6601" w:type="dxa"/>
            <w:vAlign w:val="center"/>
          </w:tcPr>
          <w:p w14:paraId="056A0B17" w14:textId="77777777" w:rsidR="00A44AF8" w:rsidRPr="00CE610C" w:rsidRDefault="004105E9">
            <w:pPr>
              <w:spacing w:after="0" w:line="276" w:lineRule="auto"/>
              <w:rPr>
                <w:lang w:val="en-GB"/>
              </w:rPr>
            </w:pPr>
            <w:r w:rsidRPr="00CE610C">
              <w:rPr>
                <w:lang w:val="en-GB"/>
              </w:rPr>
              <w:t>Maintains records of registered Data Space participants, including metadata about their capabilities and permissions.</w:t>
            </w:r>
          </w:p>
        </w:tc>
      </w:tr>
      <w:tr w:rsidR="00A44AF8" w:rsidRPr="00CE610C" w14:paraId="184F0B8F" w14:textId="77777777">
        <w:tc>
          <w:tcPr>
            <w:tcW w:w="2461" w:type="dxa"/>
            <w:vAlign w:val="center"/>
          </w:tcPr>
          <w:p w14:paraId="14E6F12F" w14:textId="77777777" w:rsidR="00A44AF8" w:rsidRPr="00CE610C" w:rsidRDefault="004105E9">
            <w:pPr>
              <w:spacing w:after="0" w:line="276" w:lineRule="auto"/>
              <w:rPr>
                <w:lang w:val="en-GB"/>
              </w:rPr>
            </w:pPr>
            <w:r w:rsidRPr="00CE610C">
              <w:rPr>
                <w:b/>
                <w:lang w:val="en-GB"/>
              </w:rPr>
              <w:t>Metadata Broker</w:t>
            </w:r>
          </w:p>
        </w:tc>
        <w:tc>
          <w:tcPr>
            <w:tcW w:w="6601" w:type="dxa"/>
            <w:vAlign w:val="center"/>
          </w:tcPr>
          <w:p w14:paraId="7ABF4F38" w14:textId="77777777" w:rsidR="00A44AF8" w:rsidRPr="00CE610C" w:rsidRDefault="004105E9">
            <w:pPr>
              <w:spacing w:after="0" w:line="276" w:lineRule="auto"/>
              <w:rPr>
                <w:lang w:val="en-GB"/>
              </w:rPr>
            </w:pPr>
            <w:r w:rsidRPr="00CE610C">
              <w:rPr>
                <w:lang w:val="en-GB"/>
              </w:rPr>
              <w:t>Facilitates access to metadata (data catalogues) published by participants.</w:t>
            </w:r>
          </w:p>
        </w:tc>
      </w:tr>
      <w:tr w:rsidR="00A44AF8" w:rsidRPr="00CE610C" w14:paraId="71165AC8" w14:textId="77777777">
        <w:tc>
          <w:tcPr>
            <w:tcW w:w="2461" w:type="dxa"/>
            <w:vAlign w:val="center"/>
          </w:tcPr>
          <w:p w14:paraId="2B7B3C4D" w14:textId="77777777" w:rsidR="00A44AF8" w:rsidRPr="00CE610C" w:rsidRDefault="004105E9">
            <w:pPr>
              <w:spacing w:after="0" w:line="276" w:lineRule="auto"/>
              <w:rPr>
                <w:lang w:val="en-GB"/>
              </w:rPr>
            </w:pPr>
            <w:r w:rsidRPr="00CE610C">
              <w:rPr>
                <w:b/>
                <w:lang w:val="en-GB"/>
              </w:rPr>
              <w:t>Clearing House</w:t>
            </w:r>
          </w:p>
        </w:tc>
        <w:tc>
          <w:tcPr>
            <w:tcW w:w="6601" w:type="dxa"/>
            <w:vAlign w:val="center"/>
          </w:tcPr>
          <w:p w14:paraId="31C51729" w14:textId="77777777" w:rsidR="00A44AF8" w:rsidRPr="00CE610C" w:rsidRDefault="004105E9">
            <w:pPr>
              <w:spacing w:after="0" w:line="276" w:lineRule="auto"/>
              <w:rPr>
                <w:lang w:val="en-GB"/>
              </w:rPr>
            </w:pPr>
            <w:r w:rsidRPr="00CE610C">
              <w:rPr>
                <w:lang w:val="en-GB"/>
              </w:rPr>
              <w:t>Enables independent auditing and recording of transactions in the Data Space (e.g., logging of data flows, ensuring trust).</w:t>
            </w:r>
          </w:p>
        </w:tc>
      </w:tr>
      <w:tr w:rsidR="00A44AF8" w:rsidRPr="00CE610C" w14:paraId="75D83F1C" w14:textId="77777777">
        <w:tc>
          <w:tcPr>
            <w:tcW w:w="2461" w:type="dxa"/>
            <w:vAlign w:val="center"/>
          </w:tcPr>
          <w:p w14:paraId="01A5912A" w14:textId="77777777" w:rsidR="00A44AF8" w:rsidRPr="00CE610C" w:rsidRDefault="004105E9">
            <w:pPr>
              <w:spacing w:after="0" w:line="276" w:lineRule="auto"/>
              <w:rPr>
                <w:lang w:val="en-GB"/>
              </w:rPr>
            </w:pPr>
            <w:r w:rsidRPr="00CE610C">
              <w:rPr>
                <w:b/>
                <w:lang w:val="en-GB"/>
              </w:rPr>
              <w:t>Usage Policy Manager</w:t>
            </w:r>
          </w:p>
        </w:tc>
        <w:tc>
          <w:tcPr>
            <w:tcW w:w="6601" w:type="dxa"/>
            <w:vAlign w:val="center"/>
          </w:tcPr>
          <w:p w14:paraId="47BE97F4" w14:textId="77777777" w:rsidR="00A44AF8" w:rsidRPr="00CE610C" w:rsidRDefault="004105E9">
            <w:pPr>
              <w:spacing w:after="0" w:line="276" w:lineRule="auto"/>
              <w:rPr>
                <w:lang w:val="en-GB"/>
              </w:rPr>
            </w:pPr>
            <w:r w:rsidRPr="00CE610C">
              <w:rPr>
                <w:lang w:val="en-GB"/>
              </w:rPr>
              <w:t>Manages and enforces contractual conditions for data usage.</w:t>
            </w:r>
          </w:p>
        </w:tc>
      </w:tr>
      <w:tr w:rsidR="00A44AF8" w:rsidRPr="00CE610C" w14:paraId="71D416C7" w14:textId="77777777">
        <w:tc>
          <w:tcPr>
            <w:tcW w:w="2461" w:type="dxa"/>
            <w:vAlign w:val="center"/>
          </w:tcPr>
          <w:p w14:paraId="03FA07D1" w14:textId="77777777" w:rsidR="00A44AF8" w:rsidRPr="00CE610C" w:rsidRDefault="004105E9">
            <w:pPr>
              <w:spacing w:after="0" w:line="276" w:lineRule="auto"/>
              <w:rPr>
                <w:lang w:val="en-GB"/>
              </w:rPr>
            </w:pPr>
            <w:r w:rsidRPr="00CE610C">
              <w:rPr>
                <w:b/>
                <w:lang w:val="en-GB"/>
              </w:rPr>
              <w:t>Trust &amp; Certification Services</w:t>
            </w:r>
          </w:p>
        </w:tc>
        <w:tc>
          <w:tcPr>
            <w:tcW w:w="6601" w:type="dxa"/>
            <w:vAlign w:val="center"/>
          </w:tcPr>
          <w:p w14:paraId="2A0A8D1B" w14:textId="77777777" w:rsidR="00A44AF8" w:rsidRPr="00CE610C" w:rsidRDefault="00A44AF8">
            <w:pPr>
              <w:spacing w:after="0" w:line="276" w:lineRule="auto"/>
              <w:rPr>
                <w:lang w:val="en-GB"/>
              </w:rPr>
            </w:pPr>
          </w:p>
        </w:tc>
      </w:tr>
    </w:tbl>
    <w:p w14:paraId="707AC58E" w14:textId="77777777" w:rsidR="00A44AF8" w:rsidRPr="00CE610C" w:rsidRDefault="00A44AF8">
      <w:pPr>
        <w:rPr>
          <w:lang w:val="en-GB"/>
        </w:rPr>
      </w:pPr>
    </w:p>
    <w:p w14:paraId="30F9BCC4" w14:textId="77777777" w:rsidR="00A44AF8" w:rsidRPr="00CE610C" w:rsidRDefault="004105E9">
      <w:pPr>
        <w:pStyle w:val="Nadpis4"/>
        <w:numPr>
          <w:ilvl w:val="0"/>
          <w:numId w:val="11"/>
        </w:numPr>
        <w:ind w:left="357" w:hanging="357"/>
        <w:rPr>
          <w:lang w:val="en-GB"/>
        </w:rPr>
      </w:pPr>
      <w:r w:rsidRPr="00CE610C">
        <w:rPr>
          <w:lang w:val="en-GB"/>
        </w:rPr>
        <w:t>Integration of Data Sets and Connection of Selected Participants</w:t>
      </w:r>
    </w:p>
    <w:p w14:paraId="77CB7F7F" w14:textId="77777777" w:rsidR="00A44AF8" w:rsidRPr="00CE610C" w:rsidRDefault="004105E9">
      <w:pPr>
        <w:rPr>
          <w:lang w:val="en-GB"/>
        </w:rPr>
      </w:pPr>
      <w:r w:rsidRPr="00CE610C">
        <w:rPr>
          <w:lang w:val="en-GB"/>
        </w:rPr>
        <w:t>The contractor shall perform the following tasks:</w:t>
      </w:r>
    </w:p>
    <w:p w14:paraId="54E7123D" w14:textId="77777777" w:rsidR="00A44AF8" w:rsidRPr="00CE610C" w:rsidRDefault="004105E9">
      <w:pPr>
        <w:numPr>
          <w:ilvl w:val="0"/>
          <w:numId w:val="14"/>
        </w:numPr>
        <w:spacing w:after="0"/>
        <w:ind w:left="714" w:hanging="357"/>
        <w:rPr>
          <w:lang w:val="en-GB"/>
        </w:rPr>
      </w:pPr>
      <w:r w:rsidRPr="00CE610C">
        <w:rPr>
          <w:lang w:val="en-GB"/>
        </w:rPr>
        <w:t xml:space="preserve">Integrate </w:t>
      </w:r>
      <w:r w:rsidRPr="00CE610C">
        <w:rPr>
          <w:b/>
          <w:lang w:val="en-GB"/>
        </w:rPr>
        <w:t>at least two pilot data providers</w:t>
      </w:r>
      <w:r w:rsidRPr="00CE610C">
        <w:rPr>
          <w:lang w:val="en-GB"/>
        </w:rPr>
        <w:t xml:space="preserve"> (e.g., a public entity, research institution).</w:t>
      </w:r>
    </w:p>
    <w:p w14:paraId="3FB3859A" w14:textId="77777777" w:rsidR="00A44AF8" w:rsidRPr="00CE610C" w:rsidRDefault="004105E9">
      <w:pPr>
        <w:numPr>
          <w:ilvl w:val="0"/>
          <w:numId w:val="14"/>
        </w:numPr>
        <w:spacing w:after="0"/>
        <w:ind w:left="714" w:hanging="357"/>
        <w:rPr>
          <w:lang w:val="en-GB"/>
        </w:rPr>
      </w:pPr>
      <w:r w:rsidRPr="00CE610C">
        <w:rPr>
          <w:lang w:val="en-GB"/>
        </w:rPr>
        <w:t xml:space="preserve">Connect </w:t>
      </w:r>
      <w:r w:rsidRPr="00CE610C">
        <w:rPr>
          <w:b/>
          <w:lang w:val="en-GB"/>
        </w:rPr>
        <w:t>one to two data consumers</w:t>
      </w:r>
      <w:r w:rsidRPr="00CE610C">
        <w:rPr>
          <w:lang w:val="en-GB"/>
        </w:rPr>
        <w:t xml:space="preserve"> who will utilize the data in a specific application scenario.</w:t>
      </w:r>
    </w:p>
    <w:p w14:paraId="65193DCF" w14:textId="77777777" w:rsidR="00A44AF8" w:rsidRPr="00CE610C" w:rsidRDefault="004105E9">
      <w:pPr>
        <w:numPr>
          <w:ilvl w:val="0"/>
          <w:numId w:val="14"/>
        </w:numPr>
        <w:spacing w:after="0"/>
        <w:ind w:left="714" w:hanging="357"/>
        <w:rPr>
          <w:lang w:val="en-GB"/>
        </w:rPr>
      </w:pPr>
      <w:r w:rsidRPr="00CE610C">
        <w:rPr>
          <w:lang w:val="en-GB"/>
        </w:rPr>
        <w:t xml:space="preserve">Implement </w:t>
      </w:r>
      <w:r w:rsidRPr="00CE610C">
        <w:rPr>
          <w:b/>
          <w:lang w:val="en-GB"/>
        </w:rPr>
        <w:t>a data catalogue</w:t>
      </w:r>
      <w:r w:rsidRPr="00CE610C">
        <w:rPr>
          <w:lang w:val="en-GB"/>
        </w:rPr>
        <w:t xml:space="preserve"> (e.g., in the DCAT-AP, NGSI-LD, or RDF/SPARQL endpoint format).</w:t>
      </w:r>
    </w:p>
    <w:p w14:paraId="14651860" w14:textId="77777777" w:rsidR="00A44AF8" w:rsidRPr="00CE610C" w:rsidRDefault="004105E9">
      <w:pPr>
        <w:pStyle w:val="Nadpis4"/>
        <w:numPr>
          <w:ilvl w:val="0"/>
          <w:numId w:val="11"/>
        </w:numPr>
        <w:ind w:left="357" w:hanging="357"/>
        <w:rPr>
          <w:lang w:val="en-GB"/>
        </w:rPr>
      </w:pPr>
      <w:r w:rsidRPr="00CE610C">
        <w:rPr>
          <w:lang w:val="en-GB"/>
        </w:rPr>
        <w:t>Deployment into Pilot Operation and Support for Testing</w:t>
      </w:r>
    </w:p>
    <w:p w14:paraId="0564DD1E" w14:textId="77777777" w:rsidR="00A44AF8" w:rsidRPr="00CE610C" w:rsidRDefault="004105E9">
      <w:pPr>
        <w:spacing w:after="0"/>
        <w:ind w:left="357"/>
        <w:rPr>
          <w:lang w:val="en-GB"/>
        </w:rPr>
      </w:pPr>
      <w:r w:rsidRPr="00CE610C">
        <w:rPr>
          <w:lang w:val="en-GB"/>
        </w:rPr>
        <w:t>The contractor shall ensure:</w:t>
      </w:r>
    </w:p>
    <w:p w14:paraId="09836AE5" w14:textId="77777777" w:rsidR="00A44AF8" w:rsidRPr="00CE610C" w:rsidRDefault="004105E9">
      <w:pPr>
        <w:numPr>
          <w:ilvl w:val="0"/>
          <w:numId w:val="14"/>
        </w:numPr>
        <w:spacing w:after="0"/>
        <w:ind w:left="714" w:hanging="357"/>
        <w:rPr>
          <w:lang w:val="en-GB"/>
        </w:rPr>
      </w:pPr>
      <w:r w:rsidRPr="00CE610C">
        <w:rPr>
          <w:b/>
          <w:lang w:val="en-GB"/>
        </w:rPr>
        <w:t>Installation and configuration</w:t>
      </w:r>
      <w:r w:rsidRPr="00CE610C">
        <w:rPr>
          <w:lang w:val="en-GB"/>
        </w:rPr>
        <w:t xml:space="preserve"> of components in the contracting authority's environment (cloud-based, hybrid, or on-premise as agreed).</w:t>
      </w:r>
    </w:p>
    <w:p w14:paraId="11A88000" w14:textId="77777777" w:rsidR="00A44AF8" w:rsidRPr="00CE610C" w:rsidRDefault="004105E9">
      <w:pPr>
        <w:numPr>
          <w:ilvl w:val="0"/>
          <w:numId w:val="14"/>
        </w:numPr>
        <w:spacing w:after="0"/>
        <w:ind w:left="714" w:hanging="357"/>
        <w:rPr>
          <w:lang w:val="en-GB"/>
        </w:rPr>
      </w:pPr>
      <w:r w:rsidRPr="00CE610C">
        <w:rPr>
          <w:b/>
          <w:lang w:val="en-GB"/>
        </w:rPr>
        <w:t>Testing of interoperability</w:t>
      </w:r>
      <w:r w:rsidRPr="00CE610C">
        <w:rPr>
          <w:lang w:val="en-GB"/>
        </w:rPr>
        <w:t xml:space="preserve"> with existing European services (e.g., GAIA-X Federation Services, DSSC Sandbox).</w:t>
      </w:r>
    </w:p>
    <w:p w14:paraId="08434B4F" w14:textId="77777777" w:rsidR="00A44AF8" w:rsidRPr="00CE610C" w:rsidRDefault="004105E9">
      <w:pPr>
        <w:numPr>
          <w:ilvl w:val="0"/>
          <w:numId w:val="14"/>
        </w:numPr>
        <w:spacing w:after="0"/>
        <w:ind w:left="714" w:hanging="357"/>
        <w:rPr>
          <w:lang w:val="en-GB"/>
        </w:rPr>
      </w:pPr>
      <w:r w:rsidRPr="00CE610C">
        <w:rPr>
          <w:lang w:val="en-GB"/>
        </w:rPr>
        <w:t>Training of system administrators and selected users on component operation, access rights management, data publishing and basic service management,</w:t>
      </w:r>
    </w:p>
    <w:p w14:paraId="18ACB7DF" w14:textId="77777777" w:rsidR="00A44AF8" w:rsidRPr="00CE610C" w:rsidRDefault="004105E9">
      <w:pPr>
        <w:numPr>
          <w:ilvl w:val="0"/>
          <w:numId w:val="14"/>
        </w:numPr>
        <w:spacing w:after="0"/>
        <w:ind w:left="714" w:hanging="357"/>
        <w:rPr>
          <w:lang w:val="en-GB"/>
        </w:rPr>
      </w:pPr>
      <w:r w:rsidRPr="00CE610C">
        <w:rPr>
          <w:lang w:val="en-GB"/>
        </w:rPr>
        <w:t>Ensuring transfer of know-how required for stand-alone operation, administration and future expansion of the data space,</w:t>
      </w:r>
    </w:p>
    <w:p w14:paraId="131FA856" w14:textId="77777777" w:rsidR="00E11352" w:rsidRPr="00CE610C" w:rsidRDefault="00E11352">
      <w:pPr>
        <w:rPr>
          <w:i/>
          <w:color w:val="2F5496"/>
          <w:lang w:val="en-GB"/>
        </w:rPr>
      </w:pPr>
      <w:r w:rsidRPr="00CE610C">
        <w:rPr>
          <w:lang w:val="en-GB"/>
        </w:rPr>
        <w:br w:type="page"/>
      </w:r>
    </w:p>
    <w:p w14:paraId="6E5EE046" w14:textId="52B20967" w:rsidR="00A44AF8" w:rsidRPr="00CE610C" w:rsidRDefault="004105E9">
      <w:pPr>
        <w:pStyle w:val="Nadpis4"/>
        <w:numPr>
          <w:ilvl w:val="0"/>
          <w:numId w:val="11"/>
        </w:numPr>
        <w:rPr>
          <w:lang w:val="en-GB"/>
        </w:rPr>
      </w:pPr>
      <w:r w:rsidRPr="00CE610C">
        <w:rPr>
          <w:lang w:val="en-GB"/>
        </w:rPr>
        <w:lastRenderedPageBreak/>
        <w:t>Technical and Methodological Documentation</w:t>
      </w:r>
    </w:p>
    <w:p w14:paraId="48CED9F6" w14:textId="77777777" w:rsidR="00A44AF8" w:rsidRPr="00CE610C" w:rsidRDefault="004105E9">
      <w:pPr>
        <w:rPr>
          <w:lang w:val="en-GB"/>
        </w:rPr>
      </w:pPr>
      <w:r w:rsidRPr="00CE610C">
        <w:rPr>
          <w:lang w:val="en-GB"/>
        </w:rPr>
        <w:t>The output will include a set of documents describing:</w:t>
      </w:r>
    </w:p>
    <w:p w14:paraId="428C8803" w14:textId="77777777" w:rsidR="00A44AF8" w:rsidRPr="00CE610C" w:rsidRDefault="004105E9">
      <w:pPr>
        <w:numPr>
          <w:ilvl w:val="0"/>
          <w:numId w:val="14"/>
        </w:numPr>
        <w:spacing w:after="0"/>
        <w:ind w:left="714" w:hanging="357"/>
        <w:rPr>
          <w:lang w:val="en-GB"/>
        </w:rPr>
      </w:pPr>
      <w:r w:rsidRPr="00CE610C">
        <w:rPr>
          <w:lang w:val="en-GB"/>
        </w:rPr>
        <w:t>The</w:t>
      </w:r>
      <w:r w:rsidRPr="00CE610C">
        <w:rPr>
          <w:b/>
          <w:lang w:val="en-GB"/>
        </w:rPr>
        <w:t xml:space="preserve"> solution architecture</w:t>
      </w:r>
      <w:r w:rsidRPr="00CE610C">
        <w:rPr>
          <w:lang w:val="en-GB"/>
        </w:rPr>
        <w:t xml:space="preserve"> (including components, APIs, and integrations)</w:t>
      </w:r>
    </w:p>
    <w:p w14:paraId="244AA62C" w14:textId="77777777" w:rsidR="00A44AF8" w:rsidRPr="00CE610C" w:rsidRDefault="004105E9">
      <w:pPr>
        <w:numPr>
          <w:ilvl w:val="0"/>
          <w:numId w:val="14"/>
        </w:numPr>
        <w:spacing w:after="0"/>
        <w:ind w:left="714" w:hanging="357"/>
        <w:rPr>
          <w:b/>
          <w:lang w:val="en-GB"/>
        </w:rPr>
      </w:pPr>
      <w:r w:rsidRPr="00CE610C">
        <w:rPr>
          <w:b/>
          <w:lang w:val="en-GB"/>
        </w:rPr>
        <w:t>Security and operational configurations</w:t>
      </w:r>
    </w:p>
    <w:p w14:paraId="5ED5999C" w14:textId="77777777" w:rsidR="00A44AF8" w:rsidRPr="00CE610C" w:rsidRDefault="004105E9">
      <w:pPr>
        <w:numPr>
          <w:ilvl w:val="0"/>
          <w:numId w:val="14"/>
        </w:numPr>
        <w:spacing w:after="0"/>
        <w:ind w:left="714" w:hanging="357"/>
        <w:rPr>
          <w:lang w:val="en-GB"/>
        </w:rPr>
      </w:pPr>
      <w:r w:rsidRPr="00CE610C">
        <w:rPr>
          <w:b/>
          <w:lang w:val="en-GB"/>
        </w:rPr>
        <w:t>User manuals</w:t>
      </w:r>
      <w:r w:rsidRPr="00CE610C">
        <w:rPr>
          <w:lang w:val="en-GB"/>
        </w:rPr>
        <w:t xml:space="preserve"> for both administrators and participants</w:t>
      </w:r>
    </w:p>
    <w:p w14:paraId="4372D548" w14:textId="77777777" w:rsidR="00A44AF8" w:rsidRPr="00CE610C" w:rsidRDefault="004105E9">
      <w:pPr>
        <w:numPr>
          <w:ilvl w:val="0"/>
          <w:numId w:val="14"/>
        </w:numPr>
        <w:spacing w:after="0"/>
        <w:ind w:left="714" w:hanging="357"/>
        <w:rPr>
          <w:lang w:val="en-GB"/>
        </w:rPr>
      </w:pPr>
      <w:r w:rsidRPr="00CE610C">
        <w:rPr>
          <w:lang w:val="en-GB"/>
        </w:rPr>
        <w:t xml:space="preserve">The </w:t>
      </w:r>
      <w:r w:rsidRPr="00CE610C">
        <w:rPr>
          <w:b/>
          <w:lang w:val="en-GB"/>
        </w:rPr>
        <w:t>onboarding methodology</w:t>
      </w:r>
      <w:r w:rsidRPr="00CE610C">
        <w:rPr>
          <w:lang w:val="en-GB"/>
        </w:rPr>
        <w:t xml:space="preserve"> for new partners</w:t>
      </w:r>
    </w:p>
    <w:p w14:paraId="276CFC4E" w14:textId="77777777" w:rsidR="00A44AF8" w:rsidRPr="00CE610C" w:rsidRDefault="004105E9" w:rsidP="00E11352">
      <w:pPr>
        <w:pStyle w:val="Nadpis4"/>
        <w:numPr>
          <w:ilvl w:val="0"/>
          <w:numId w:val="11"/>
        </w:numPr>
        <w:spacing w:before="120"/>
        <w:ind w:left="357" w:hanging="357"/>
        <w:rPr>
          <w:lang w:val="en-GB"/>
        </w:rPr>
      </w:pPr>
      <w:bookmarkStart w:id="1" w:name="_heading=h.mtmt1nnh1b84" w:colFirst="0" w:colLast="0"/>
      <w:bookmarkEnd w:id="1"/>
      <w:r w:rsidRPr="00CE610C">
        <w:rPr>
          <w:lang w:val="en-GB"/>
        </w:rPr>
        <w:t>Requirements for Operation and Support of DSaaS (Data Space as a Service)</w:t>
      </w:r>
    </w:p>
    <w:p w14:paraId="1B180B50" w14:textId="77777777" w:rsidR="00A44AF8" w:rsidRPr="00CE610C" w:rsidRDefault="004105E9" w:rsidP="00E11352">
      <w:pPr>
        <w:spacing w:before="240" w:after="240"/>
        <w:jc w:val="both"/>
        <w:rPr>
          <w:lang w:val="en-GB"/>
        </w:rPr>
      </w:pPr>
      <w:r w:rsidRPr="00CE610C">
        <w:rPr>
          <w:lang w:val="en-GB"/>
        </w:rPr>
        <w:t>This section outlines the preliminary requirements and expectations for the Data Space as a Service (DSaaS). These requirements serve as the basis for negotiation and further refinement of the tender documentation. Suppliers are invited to assess these requirements in terms of feasibility and service levels, and to propose potential improvements in the form of general terms and conditions.</w:t>
      </w:r>
    </w:p>
    <w:p w14:paraId="0476C0C7" w14:textId="77777777" w:rsidR="00A44AF8" w:rsidRPr="00CE610C" w:rsidRDefault="004105E9">
      <w:pPr>
        <w:pStyle w:val="Nadpis5"/>
        <w:keepNext w:val="0"/>
        <w:keepLines w:val="0"/>
        <w:spacing w:before="360"/>
        <w:rPr>
          <w:lang w:val="en-GB"/>
        </w:rPr>
      </w:pPr>
      <w:bookmarkStart w:id="2" w:name="_heading=h.6wzggzjdrbhh" w:colFirst="0" w:colLast="0"/>
      <w:bookmarkEnd w:id="2"/>
      <w:r w:rsidRPr="00CE610C">
        <w:rPr>
          <w:lang w:val="en-GB"/>
        </w:rPr>
        <w:t>1. Service Availability (Uptime Guarantee)</w:t>
      </w:r>
    </w:p>
    <w:p w14:paraId="5ACE350F" w14:textId="77777777" w:rsidR="00A44AF8" w:rsidRPr="00CE610C" w:rsidRDefault="004105E9" w:rsidP="00E11352">
      <w:pPr>
        <w:spacing w:before="240" w:after="240"/>
        <w:jc w:val="both"/>
        <w:rPr>
          <w:lang w:val="en-GB"/>
        </w:rPr>
      </w:pPr>
      <w:r w:rsidRPr="00CE610C">
        <w:rPr>
          <w:lang w:val="en-GB"/>
        </w:rPr>
        <w:t>The DSaaS provider must guarantee a minimum service availability of 99.5% per calendar month, excluding planned outages.</w:t>
      </w:r>
    </w:p>
    <w:p w14:paraId="33D66514" w14:textId="77777777" w:rsidR="00A44AF8" w:rsidRPr="00CE610C" w:rsidRDefault="004105E9">
      <w:pPr>
        <w:numPr>
          <w:ilvl w:val="0"/>
          <w:numId w:val="6"/>
        </w:numPr>
        <w:spacing w:before="240" w:after="0"/>
        <w:rPr>
          <w:lang w:val="en-GB"/>
        </w:rPr>
      </w:pPr>
      <w:r w:rsidRPr="00CE610C">
        <w:rPr>
          <w:lang w:val="en-GB"/>
        </w:rPr>
        <w:t>Planned outages must be announced at least 5 business days in advance.</w:t>
      </w:r>
    </w:p>
    <w:p w14:paraId="42F087EF" w14:textId="77777777" w:rsidR="00A44AF8" w:rsidRPr="00CE610C" w:rsidRDefault="004105E9">
      <w:pPr>
        <w:numPr>
          <w:ilvl w:val="0"/>
          <w:numId w:val="6"/>
        </w:numPr>
        <w:spacing w:after="0"/>
        <w:rPr>
          <w:lang w:val="en-GB"/>
        </w:rPr>
      </w:pPr>
      <w:r w:rsidRPr="00CE610C">
        <w:rPr>
          <w:lang w:val="en-GB"/>
        </w:rPr>
        <w:t>Outages must be scheduled outside working hours (Monday–Friday, 08:00–18:00 CET), unless agreed otherwise.</w:t>
      </w:r>
    </w:p>
    <w:p w14:paraId="209BA33C" w14:textId="77777777" w:rsidR="00A44AF8" w:rsidRPr="00CE610C" w:rsidRDefault="004105E9">
      <w:pPr>
        <w:numPr>
          <w:ilvl w:val="0"/>
          <w:numId w:val="6"/>
        </w:numPr>
        <w:spacing w:after="240"/>
        <w:rPr>
          <w:lang w:val="en-GB"/>
        </w:rPr>
      </w:pPr>
      <w:r w:rsidRPr="00CE610C">
        <w:rPr>
          <w:lang w:val="en-GB"/>
        </w:rPr>
        <w:t>In case of failure to meet the availability threshold, compensations or penalties will be applied as defined in the SLA.</w:t>
      </w:r>
    </w:p>
    <w:p w14:paraId="0DD1EC3F" w14:textId="77777777" w:rsidR="00A44AF8" w:rsidRPr="00CE610C" w:rsidRDefault="004105E9">
      <w:pPr>
        <w:pStyle w:val="Nadpis5"/>
        <w:keepNext w:val="0"/>
        <w:keepLines w:val="0"/>
        <w:spacing w:before="360"/>
        <w:rPr>
          <w:lang w:val="en-GB"/>
        </w:rPr>
      </w:pPr>
      <w:bookmarkStart w:id="3" w:name="_heading=h.om9ni491nq5i" w:colFirst="0" w:colLast="0"/>
      <w:bookmarkEnd w:id="3"/>
      <w:r w:rsidRPr="00CE610C">
        <w:rPr>
          <w:lang w:val="en-GB"/>
        </w:rPr>
        <w:t>2. Helpdesk and Technical Support</w:t>
      </w:r>
    </w:p>
    <w:p w14:paraId="4960F03F" w14:textId="77777777" w:rsidR="00A44AF8" w:rsidRPr="00CE610C" w:rsidRDefault="004105E9" w:rsidP="00E11352">
      <w:pPr>
        <w:spacing w:before="240" w:after="240"/>
        <w:jc w:val="both"/>
        <w:rPr>
          <w:lang w:val="en-GB"/>
        </w:rPr>
      </w:pPr>
      <w:r w:rsidRPr="00CE610C">
        <w:rPr>
          <w:lang w:val="en-GB"/>
        </w:rPr>
        <w:t>The provider must ensure access to a multilingual helpdesk (English mandatory) with the following support levels:</w:t>
      </w:r>
    </w:p>
    <w:p w14:paraId="26ED860B" w14:textId="77777777" w:rsidR="00A44AF8" w:rsidRPr="00CE610C" w:rsidRDefault="004105E9">
      <w:pPr>
        <w:pStyle w:val="Nadpis6"/>
        <w:keepNext w:val="0"/>
        <w:keepLines w:val="0"/>
        <w:spacing w:before="360"/>
        <w:rPr>
          <w:lang w:val="en-GB"/>
        </w:rPr>
      </w:pPr>
      <w:bookmarkStart w:id="4" w:name="_heading=h.fdeaw98tqdzi" w:colFirst="0" w:colLast="0"/>
      <w:bookmarkEnd w:id="4"/>
      <w:r w:rsidRPr="00CE610C">
        <w:rPr>
          <w:lang w:val="en-GB"/>
        </w:rPr>
        <w:t>2.1 Incident and Problem Management</w:t>
      </w:r>
    </w:p>
    <w:p w14:paraId="013C0FB8" w14:textId="77777777" w:rsidR="00A44AF8" w:rsidRPr="00CE610C" w:rsidRDefault="004105E9">
      <w:pPr>
        <w:spacing w:before="240" w:after="240"/>
        <w:rPr>
          <w:lang w:val="en-GB"/>
        </w:rPr>
      </w:pPr>
      <w:r w:rsidRPr="00CE610C">
        <w:rPr>
          <w:lang w:val="en-GB"/>
        </w:rPr>
        <w:t>The provider must:</w:t>
      </w:r>
    </w:p>
    <w:p w14:paraId="7833B066" w14:textId="77777777" w:rsidR="00A44AF8" w:rsidRPr="00CE610C" w:rsidRDefault="004105E9">
      <w:pPr>
        <w:numPr>
          <w:ilvl w:val="0"/>
          <w:numId w:val="4"/>
        </w:numPr>
        <w:spacing w:before="240" w:after="0"/>
        <w:rPr>
          <w:lang w:val="en-GB"/>
        </w:rPr>
      </w:pPr>
      <w:r w:rsidRPr="00CE610C">
        <w:rPr>
          <w:lang w:val="en-GB"/>
        </w:rPr>
        <w:t>Maintain an incident management system accessible to the contracting authority.</w:t>
      </w:r>
    </w:p>
    <w:p w14:paraId="72033FD9" w14:textId="77777777" w:rsidR="00A44AF8" w:rsidRPr="00CE610C" w:rsidRDefault="004105E9">
      <w:pPr>
        <w:numPr>
          <w:ilvl w:val="0"/>
          <w:numId w:val="4"/>
        </w:numPr>
        <w:spacing w:after="0"/>
        <w:rPr>
          <w:lang w:val="en-GB"/>
        </w:rPr>
      </w:pPr>
      <w:r w:rsidRPr="00CE610C">
        <w:rPr>
          <w:lang w:val="en-GB"/>
        </w:rPr>
        <w:t>Provide regular updates on open incidents and a final report for each P1-level incident.</w:t>
      </w:r>
    </w:p>
    <w:p w14:paraId="01B56AE3" w14:textId="77777777" w:rsidR="00A44AF8" w:rsidRPr="00CE610C" w:rsidRDefault="004105E9">
      <w:pPr>
        <w:numPr>
          <w:ilvl w:val="0"/>
          <w:numId w:val="4"/>
        </w:numPr>
        <w:spacing w:after="240"/>
        <w:rPr>
          <w:lang w:val="en-GB"/>
        </w:rPr>
      </w:pPr>
      <w:r w:rsidRPr="00CE610C">
        <w:rPr>
          <w:lang w:val="en-GB"/>
        </w:rPr>
        <w:t>Implement problem management, including root cause analysis and recurrence prevention measures.</w:t>
      </w:r>
    </w:p>
    <w:p w14:paraId="45723CCD" w14:textId="77777777" w:rsidR="00E11352" w:rsidRPr="00CE610C" w:rsidRDefault="00E11352">
      <w:pPr>
        <w:rPr>
          <w:i/>
          <w:color w:val="595959"/>
          <w:lang w:val="en-GB"/>
        </w:rPr>
      </w:pPr>
      <w:bookmarkStart w:id="5" w:name="_heading=h.dy1ibmdg1x7s" w:colFirst="0" w:colLast="0"/>
      <w:bookmarkEnd w:id="5"/>
      <w:r w:rsidRPr="00CE610C">
        <w:rPr>
          <w:lang w:val="en-GB"/>
        </w:rPr>
        <w:br w:type="page"/>
      </w:r>
    </w:p>
    <w:p w14:paraId="27D22E1B" w14:textId="32C833A6" w:rsidR="00A44AF8" w:rsidRPr="00CE610C" w:rsidRDefault="004105E9">
      <w:pPr>
        <w:pStyle w:val="Nadpis6"/>
        <w:keepNext w:val="0"/>
        <w:keepLines w:val="0"/>
        <w:spacing w:before="360"/>
        <w:rPr>
          <w:lang w:val="en-GB"/>
        </w:rPr>
      </w:pPr>
      <w:r w:rsidRPr="00CE610C">
        <w:rPr>
          <w:lang w:val="en-GB"/>
        </w:rPr>
        <w:lastRenderedPageBreak/>
        <w:t>2.2 Monitoring and Reporting</w:t>
      </w:r>
    </w:p>
    <w:p w14:paraId="453F78A9" w14:textId="77777777" w:rsidR="00A44AF8" w:rsidRPr="00CE610C" w:rsidRDefault="004105E9" w:rsidP="00E11352">
      <w:pPr>
        <w:spacing w:before="240" w:after="240"/>
        <w:jc w:val="both"/>
        <w:rPr>
          <w:lang w:val="en-GB"/>
        </w:rPr>
      </w:pPr>
      <w:r w:rsidRPr="00CE610C">
        <w:rPr>
          <w:lang w:val="en-GB"/>
        </w:rPr>
        <w:t>Real-time monitoring of key services will be provided, with partial access for the contracting authority (e.g., a status dashboard).</w:t>
      </w:r>
    </w:p>
    <w:p w14:paraId="2F04B460" w14:textId="77777777" w:rsidR="00A44AF8" w:rsidRPr="00CE610C" w:rsidRDefault="004105E9">
      <w:pPr>
        <w:spacing w:before="240" w:after="240"/>
        <w:rPr>
          <w:lang w:val="en-GB"/>
        </w:rPr>
      </w:pPr>
      <w:r w:rsidRPr="00CE610C">
        <w:rPr>
          <w:lang w:val="en-GB"/>
        </w:rPr>
        <w:t>Reports shall include:</w:t>
      </w:r>
    </w:p>
    <w:p w14:paraId="62889D91" w14:textId="77777777" w:rsidR="00A44AF8" w:rsidRPr="00CE610C" w:rsidRDefault="004105E9">
      <w:pPr>
        <w:numPr>
          <w:ilvl w:val="0"/>
          <w:numId w:val="7"/>
        </w:numPr>
        <w:spacing w:before="240" w:after="0"/>
        <w:rPr>
          <w:lang w:val="en-GB"/>
        </w:rPr>
      </w:pPr>
      <w:r w:rsidRPr="00CE610C">
        <w:rPr>
          <w:lang w:val="en-GB"/>
        </w:rPr>
        <w:t>Availability statistics</w:t>
      </w:r>
    </w:p>
    <w:p w14:paraId="2E11A396" w14:textId="77777777" w:rsidR="00A44AF8" w:rsidRPr="00CE610C" w:rsidRDefault="004105E9">
      <w:pPr>
        <w:numPr>
          <w:ilvl w:val="0"/>
          <w:numId w:val="7"/>
        </w:numPr>
        <w:spacing w:after="0"/>
        <w:rPr>
          <w:lang w:val="en-GB"/>
        </w:rPr>
      </w:pPr>
      <w:r w:rsidRPr="00CE610C">
        <w:rPr>
          <w:lang w:val="en-GB"/>
        </w:rPr>
        <w:t>Incident response statistics</w:t>
      </w:r>
    </w:p>
    <w:p w14:paraId="75BD7826" w14:textId="77777777" w:rsidR="00A44AF8" w:rsidRPr="00CE610C" w:rsidRDefault="004105E9">
      <w:pPr>
        <w:numPr>
          <w:ilvl w:val="0"/>
          <w:numId w:val="7"/>
        </w:numPr>
        <w:spacing w:after="0"/>
        <w:rPr>
          <w:lang w:val="en-GB"/>
        </w:rPr>
      </w:pPr>
      <w:r w:rsidRPr="00CE610C">
        <w:rPr>
          <w:lang w:val="en-GB"/>
        </w:rPr>
        <w:t>Support statistics</w:t>
      </w:r>
    </w:p>
    <w:p w14:paraId="00B72EAA" w14:textId="77777777" w:rsidR="00A44AF8" w:rsidRPr="00CE610C" w:rsidRDefault="004105E9">
      <w:pPr>
        <w:numPr>
          <w:ilvl w:val="0"/>
          <w:numId w:val="7"/>
        </w:numPr>
        <w:spacing w:after="240"/>
        <w:rPr>
          <w:lang w:val="en-GB"/>
        </w:rPr>
      </w:pPr>
      <w:r w:rsidRPr="00CE610C">
        <w:rPr>
          <w:lang w:val="en-GB"/>
        </w:rPr>
        <w:t>Planned and unplanned maintenance</w:t>
      </w:r>
    </w:p>
    <w:p w14:paraId="0E85CFC1" w14:textId="77777777" w:rsidR="00A44AF8" w:rsidRPr="00CE610C" w:rsidRDefault="004105E9">
      <w:pPr>
        <w:pStyle w:val="Nadpis5"/>
        <w:keepNext w:val="0"/>
        <w:keepLines w:val="0"/>
        <w:spacing w:before="360"/>
        <w:rPr>
          <w:lang w:val="en-GB"/>
        </w:rPr>
      </w:pPr>
      <w:bookmarkStart w:id="6" w:name="_heading=h.o0uc2m9lz07p" w:colFirst="0" w:colLast="0"/>
      <w:bookmarkEnd w:id="6"/>
      <w:r w:rsidRPr="00CE610C">
        <w:rPr>
          <w:lang w:val="en-GB"/>
        </w:rPr>
        <w:t>3. Data Availability and Integrity</w:t>
      </w:r>
    </w:p>
    <w:p w14:paraId="3E7FE818" w14:textId="77777777" w:rsidR="00A44AF8" w:rsidRPr="00CE610C" w:rsidRDefault="004105E9">
      <w:pPr>
        <w:numPr>
          <w:ilvl w:val="0"/>
          <w:numId w:val="24"/>
        </w:numPr>
        <w:spacing w:before="360" w:after="0"/>
        <w:rPr>
          <w:lang w:val="en-GB"/>
        </w:rPr>
      </w:pPr>
      <w:r w:rsidRPr="00CE610C">
        <w:rPr>
          <w:lang w:val="en-GB"/>
        </w:rPr>
        <w:t>Data within the DSaaS must be backed up or replicated daily.</w:t>
      </w:r>
    </w:p>
    <w:p w14:paraId="4BF7C2E9" w14:textId="77777777" w:rsidR="00A44AF8" w:rsidRPr="00CE610C" w:rsidRDefault="004105E9">
      <w:pPr>
        <w:numPr>
          <w:ilvl w:val="0"/>
          <w:numId w:val="24"/>
        </w:numPr>
        <w:spacing w:after="0"/>
        <w:rPr>
          <w:lang w:val="en-GB"/>
        </w:rPr>
      </w:pPr>
      <w:r w:rsidRPr="00CE610C">
        <w:rPr>
          <w:lang w:val="en-GB"/>
        </w:rPr>
        <w:t>Recovery Point Objective (RPO): max. 24 hours</w:t>
      </w:r>
    </w:p>
    <w:p w14:paraId="7AFD533C" w14:textId="77777777" w:rsidR="00A44AF8" w:rsidRPr="00CE610C" w:rsidRDefault="004105E9">
      <w:pPr>
        <w:numPr>
          <w:ilvl w:val="0"/>
          <w:numId w:val="24"/>
        </w:numPr>
        <w:rPr>
          <w:lang w:val="en-GB"/>
        </w:rPr>
      </w:pPr>
      <w:r w:rsidRPr="00CE610C">
        <w:rPr>
          <w:lang w:val="en-GB"/>
        </w:rPr>
        <w:t>Recovery Time Objective (RTO): max. 12 hours</w:t>
      </w:r>
    </w:p>
    <w:p w14:paraId="636F28E5" w14:textId="77777777" w:rsidR="00A44AF8" w:rsidRPr="00CE610C" w:rsidRDefault="004105E9">
      <w:pPr>
        <w:pStyle w:val="Nadpis5"/>
        <w:keepNext w:val="0"/>
        <w:keepLines w:val="0"/>
        <w:spacing w:before="360"/>
        <w:rPr>
          <w:lang w:val="en-GB"/>
        </w:rPr>
      </w:pPr>
      <w:bookmarkStart w:id="7" w:name="_heading=h.qd5s2py4nwbb" w:colFirst="0" w:colLast="0"/>
      <w:bookmarkEnd w:id="7"/>
      <w:r w:rsidRPr="00CE610C">
        <w:rPr>
          <w:lang w:val="en-GB"/>
        </w:rPr>
        <w:t>4. Escalation Procedures</w:t>
      </w:r>
    </w:p>
    <w:p w14:paraId="3A80BC06" w14:textId="77777777" w:rsidR="00A44AF8" w:rsidRPr="00CE610C" w:rsidRDefault="004105E9" w:rsidP="00E11352">
      <w:pPr>
        <w:spacing w:before="240" w:after="240"/>
        <w:jc w:val="both"/>
        <w:rPr>
          <w:lang w:val="en-GB"/>
        </w:rPr>
      </w:pPr>
      <w:r w:rsidRPr="00CE610C">
        <w:rPr>
          <w:lang w:val="en-GB"/>
        </w:rPr>
        <w:t>The provider must define and maintain an escalation scheme for unresolved incidents. The contact details of responsible personnel must be up-to-date and available throughout the contract term.</w:t>
      </w:r>
    </w:p>
    <w:p w14:paraId="77B9FC0E" w14:textId="77777777" w:rsidR="00A44AF8" w:rsidRPr="00CE610C" w:rsidRDefault="004105E9">
      <w:pPr>
        <w:pStyle w:val="Nadpis5"/>
        <w:keepNext w:val="0"/>
        <w:keepLines w:val="0"/>
        <w:spacing w:before="360"/>
        <w:rPr>
          <w:lang w:val="en-GB"/>
        </w:rPr>
      </w:pPr>
      <w:bookmarkStart w:id="8" w:name="_heading=h.tt5iuhroi5rx" w:colFirst="0" w:colLast="0"/>
      <w:bookmarkEnd w:id="8"/>
      <w:r w:rsidRPr="00CE610C">
        <w:rPr>
          <w:lang w:val="en-GB"/>
        </w:rPr>
        <w:t>5. Penalties and Service Credits</w:t>
      </w:r>
    </w:p>
    <w:p w14:paraId="3507A909" w14:textId="77777777" w:rsidR="00A44AF8" w:rsidRPr="00CE610C" w:rsidRDefault="004105E9" w:rsidP="00E11352">
      <w:pPr>
        <w:spacing w:before="240" w:after="240"/>
        <w:jc w:val="both"/>
        <w:rPr>
          <w:lang w:val="en-GB"/>
        </w:rPr>
      </w:pPr>
      <w:r w:rsidRPr="00CE610C">
        <w:rPr>
          <w:lang w:val="en-GB"/>
        </w:rPr>
        <w:t>If the SLA is not met, compensations or financial penalties shall apply (as a % of the monthly payment):</w:t>
      </w:r>
    </w:p>
    <w:p w14:paraId="01EC932B" w14:textId="77777777" w:rsidR="00A44AF8" w:rsidRPr="00CE610C" w:rsidRDefault="004105E9">
      <w:pPr>
        <w:numPr>
          <w:ilvl w:val="0"/>
          <w:numId w:val="2"/>
        </w:numPr>
        <w:spacing w:before="240" w:after="0"/>
        <w:rPr>
          <w:lang w:val="en-GB"/>
        </w:rPr>
      </w:pPr>
      <w:r w:rsidRPr="00CE610C">
        <w:rPr>
          <w:lang w:val="en-GB"/>
        </w:rPr>
        <w:t>98–99.5%: 5% credit</w:t>
      </w:r>
    </w:p>
    <w:p w14:paraId="6BD68460" w14:textId="77777777" w:rsidR="00A44AF8" w:rsidRPr="00CE610C" w:rsidRDefault="004105E9">
      <w:pPr>
        <w:numPr>
          <w:ilvl w:val="0"/>
          <w:numId w:val="2"/>
        </w:numPr>
        <w:spacing w:after="0"/>
        <w:rPr>
          <w:lang w:val="en-GB"/>
        </w:rPr>
      </w:pPr>
      <w:r w:rsidRPr="00CE610C">
        <w:rPr>
          <w:lang w:val="en-GB"/>
        </w:rPr>
        <w:t>95–98%: 10% credit</w:t>
      </w:r>
    </w:p>
    <w:p w14:paraId="1FA15A14" w14:textId="77777777" w:rsidR="00A44AF8" w:rsidRPr="00CE610C" w:rsidRDefault="004105E9">
      <w:pPr>
        <w:numPr>
          <w:ilvl w:val="0"/>
          <w:numId w:val="2"/>
        </w:numPr>
        <w:spacing w:after="240"/>
        <w:rPr>
          <w:lang w:val="en-GB"/>
        </w:rPr>
      </w:pPr>
      <w:r w:rsidRPr="00CE610C">
        <w:rPr>
          <w:lang w:val="en-GB"/>
        </w:rPr>
        <w:t>Below 95%: 20% credit or the option to terminate the contract in case of repeated breach</w:t>
      </w:r>
    </w:p>
    <w:p w14:paraId="0C097DC5" w14:textId="77777777" w:rsidR="00A44AF8" w:rsidRPr="00CE610C" w:rsidRDefault="004105E9">
      <w:pPr>
        <w:pStyle w:val="Nadpis5"/>
        <w:keepNext w:val="0"/>
        <w:keepLines w:val="0"/>
        <w:spacing w:before="360"/>
        <w:rPr>
          <w:lang w:val="en-GB"/>
        </w:rPr>
      </w:pPr>
      <w:bookmarkStart w:id="9" w:name="_heading=h.z1lm1myi72qh" w:colFirst="0" w:colLast="0"/>
      <w:bookmarkEnd w:id="9"/>
      <w:r w:rsidRPr="00CE610C">
        <w:rPr>
          <w:lang w:val="en-GB"/>
        </w:rPr>
        <w:t>6. End-User Support Integration</w:t>
      </w:r>
    </w:p>
    <w:p w14:paraId="632AB380" w14:textId="77777777" w:rsidR="00A44AF8" w:rsidRPr="00CE610C" w:rsidRDefault="004105E9" w:rsidP="00E11352">
      <w:pPr>
        <w:spacing w:before="240" w:after="240"/>
        <w:jc w:val="both"/>
        <w:rPr>
          <w:lang w:val="en-GB"/>
        </w:rPr>
      </w:pPr>
      <w:r w:rsidRPr="00CE610C">
        <w:rPr>
          <w:lang w:val="en-GB"/>
        </w:rPr>
        <w:t>If the DSaaS includes end-user-facing components (e.g., dashboards or APIs), the provider must offer support or integration of end-user support systems.</w:t>
      </w:r>
    </w:p>
    <w:p w14:paraId="1070ED70" w14:textId="77777777" w:rsidR="00E11352" w:rsidRPr="00CE610C" w:rsidRDefault="00E11352">
      <w:pPr>
        <w:rPr>
          <w:color w:val="2F5496"/>
          <w:lang w:val="en-GB"/>
        </w:rPr>
      </w:pPr>
      <w:bookmarkStart w:id="10" w:name="_heading=h.d81u249ujn3w" w:colFirst="0" w:colLast="0"/>
      <w:bookmarkEnd w:id="10"/>
      <w:r w:rsidRPr="00CE610C">
        <w:rPr>
          <w:lang w:val="en-GB"/>
        </w:rPr>
        <w:br w:type="page"/>
      </w:r>
    </w:p>
    <w:p w14:paraId="2820FD36" w14:textId="4A935000" w:rsidR="00A44AF8" w:rsidRPr="00CE610C" w:rsidRDefault="004105E9">
      <w:pPr>
        <w:pStyle w:val="Nadpis5"/>
        <w:keepNext w:val="0"/>
        <w:keepLines w:val="0"/>
        <w:spacing w:before="360"/>
        <w:rPr>
          <w:lang w:val="en-GB"/>
        </w:rPr>
      </w:pPr>
      <w:r w:rsidRPr="00CE610C">
        <w:rPr>
          <w:lang w:val="en-GB"/>
        </w:rPr>
        <w:lastRenderedPageBreak/>
        <w:t>7. Change Management and Versioning</w:t>
      </w:r>
    </w:p>
    <w:p w14:paraId="149ECB66" w14:textId="77777777" w:rsidR="00A44AF8" w:rsidRPr="00CE610C" w:rsidRDefault="004105E9">
      <w:pPr>
        <w:numPr>
          <w:ilvl w:val="0"/>
          <w:numId w:val="5"/>
        </w:numPr>
        <w:spacing w:before="240" w:after="0"/>
        <w:rPr>
          <w:lang w:val="en-GB"/>
        </w:rPr>
      </w:pPr>
      <w:r w:rsidRPr="00CE610C">
        <w:rPr>
          <w:lang w:val="en-GB"/>
        </w:rPr>
        <w:t>The provider must give at least 30 days' notice of any significant change or new version.</w:t>
      </w:r>
    </w:p>
    <w:p w14:paraId="2AEDC62C" w14:textId="77777777" w:rsidR="00A44AF8" w:rsidRPr="00CE610C" w:rsidRDefault="004105E9">
      <w:pPr>
        <w:numPr>
          <w:ilvl w:val="0"/>
          <w:numId w:val="5"/>
        </w:numPr>
        <w:spacing w:after="240"/>
        <w:rPr>
          <w:lang w:val="en-GB"/>
        </w:rPr>
      </w:pPr>
      <w:r w:rsidRPr="00CE610C">
        <w:rPr>
          <w:lang w:val="en-GB"/>
        </w:rPr>
        <w:t>The contracting authority must be given the opportunity to test new versions in a staging environment prior to production deployment.</w:t>
      </w:r>
    </w:p>
    <w:p w14:paraId="7ED84FB6" w14:textId="77777777" w:rsidR="00A44AF8" w:rsidRPr="00CE610C" w:rsidRDefault="004105E9">
      <w:pPr>
        <w:pStyle w:val="Nadpis5"/>
        <w:keepNext w:val="0"/>
        <w:keepLines w:val="0"/>
        <w:spacing w:before="360"/>
        <w:rPr>
          <w:lang w:val="en-GB"/>
        </w:rPr>
      </w:pPr>
      <w:bookmarkStart w:id="11" w:name="_heading=h.cliiyckbmh91" w:colFirst="0" w:colLast="0"/>
      <w:bookmarkEnd w:id="11"/>
      <w:r w:rsidRPr="00CE610C">
        <w:rPr>
          <w:lang w:val="en-GB"/>
        </w:rPr>
        <w:t>8. Exit Strategy and Data Portability</w:t>
      </w:r>
    </w:p>
    <w:p w14:paraId="4B76EF21" w14:textId="77777777" w:rsidR="00A44AF8" w:rsidRPr="00CE610C" w:rsidRDefault="004105E9">
      <w:pPr>
        <w:numPr>
          <w:ilvl w:val="0"/>
          <w:numId w:val="1"/>
        </w:numPr>
        <w:spacing w:before="240" w:after="0"/>
        <w:rPr>
          <w:lang w:val="en-GB"/>
        </w:rPr>
      </w:pPr>
      <w:r w:rsidRPr="00CE610C">
        <w:rPr>
          <w:lang w:val="en-GB"/>
        </w:rPr>
        <w:t>Upon contract termination, the provider must enable export of data in open standard formats (e.g., CSV, JSON, RDF) and support data migration within 30 calendar days.</w:t>
      </w:r>
    </w:p>
    <w:p w14:paraId="2CC0A220" w14:textId="77777777" w:rsidR="00A44AF8" w:rsidRPr="00CE610C" w:rsidRDefault="004105E9">
      <w:pPr>
        <w:numPr>
          <w:ilvl w:val="0"/>
          <w:numId w:val="1"/>
        </w:numPr>
        <w:spacing w:after="240"/>
        <w:rPr>
          <w:lang w:val="en-GB"/>
        </w:rPr>
      </w:pPr>
      <w:r w:rsidRPr="00CE610C">
        <w:rPr>
          <w:lang w:val="en-GB"/>
        </w:rPr>
        <w:t>A detailed exit plan must be part of the contractual documentation.</w:t>
      </w:r>
    </w:p>
    <w:p w14:paraId="751876FF" w14:textId="77777777" w:rsidR="00A44AF8" w:rsidRPr="00CE610C" w:rsidRDefault="004105E9">
      <w:pPr>
        <w:pStyle w:val="Nadpis6"/>
        <w:keepNext w:val="0"/>
        <w:keepLines w:val="0"/>
        <w:spacing w:before="360"/>
        <w:rPr>
          <w:b/>
          <w:color w:val="000000"/>
          <w:sz w:val="26"/>
          <w:szCs w:val="26"/>
          <w:lang w:val="en-GB"/>
        </w:rPr>
      </w:pPr>
      <w:bookmarkStart w:id="12" w:name="_heading=h.p2zl8rhxbwfz" w:colFirst="0" w:colLast="0"/>
      <w:bookmarkEnd w:id="12"/>
      <w:r w:rsidRPr="00CE610C">
        <w:rPr>
          <w:b/>
          <w:color w:val="000000"/>
          <w:sz w:val="26"/>
          <w:szCs w:val="26"/>
          <w:lang w:val="en-GB"/>
        </w:rPr>
        <w:t>Helpdesk Support Levels</w:t>
      </w:r>
    </w:p>
    <w:tbl>
      <w:tblPr>
        <w:tblStyle w:val="a0"/>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75"/>
        <w:gridCol w:w="2250"/>
        <w:gridCol w:w="2190"/>
        <w:gridCol w:w="2220"/>
      </w:tblGrid>
      <w:tr w:rsidR="00A44AF8" w:rsidRPr="00CE610C" w14:paraId="2AB02206" w14:textId="77777777">
        <w:trPr>
          <w:trHeight w:val="300"/>
        </w:trPr>
        <w:tc>
          <w:tcPr>
            <w:tcW w:w="21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99F884" w14:textId="77777777" w:rsidR="00A44AF8" w:rsidRPr="00CE610C" w:rsidRDefault="004105E9">
            <w:pPr>
              <w:spacing w:before="240" w:after="0" w:line="276" w:lineRule="auto"/>
              <w:rPr>
                <w:lang w:val="en-GB"/>
              </w:rPr>
            </w:pPr>
            <w:r w:rsidRPr="00CE610C">
              <w:rPr>
                <w:lang w:val="en-GB"/>
              </w:rPr>
              <w:t>Support Level</w:t>
            </w:r>
          </w:p>
        </w:tc>
        <w:tc>
          <w:tcPr>
            <w:tcW w:w="22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BDFBEBD" w14:textId="77777777" w:rsidR="00A44AF8" w:rsidRPr="00CE610C" w:rsidRDefault="004105E9">
            <w:pPr>
              <w:spacing w:before="240" w:after="0" w:line="276" w:lineRule="auto"/>
              <w:rPr>
                <w:lang w:val="en-GB"/>
              </w:rPr>
            </w:pPr>
            <w:r w:rsidRPr="00CE610C">
              <w:rPr>
                <w:lang w:val="en-GB"/>
              </w:rPr>
              <w:t>Description</w:t>
            </w:r>
          </w:p>
        </w:tc>
        <w:tc>
          <w:tcPr>
            <w:tcW w:w="219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1A529E1" w14:textId="77777777" w:rsidR="00A44AF8" w:rsidRPr="00CE610C" w:rsidRDefault="004105E9">
            <w:pPr>
              <w:spacing w:before="240" w:after="0" w:line="276" w:lineRule="auto"/>
              <w:rPr>
                <w:lang w:val="en-GB"/>
              </w:rPr>
            </w:pPr>
            <w:r w:rsidRPr="00CE610C">
              <w:rPr>
                <w:lang w:val="en-GB"/>
              </w:rPr>
              <w:t>Response Time</w:t>
            </w:r>
          </w:p>
        </w:tc>
        <w:tc>
          <w:tcPr>
            <w:tcW w:w="22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844990B" w14:textId="77777777" w:rsidR="00A44AF8" w:rsidRPr="00CE610C" w:rsidRDefault="004105E9">
            <w:pPr>
              <w:spacing w:before="240" w:after="0" w:line="276" w:lineRule="auto"/>
              <w:rPr>
                <w:lang w:val="en-GB"/>
              </w:rPr>
            </w:pPr>
            <w:r w:rsidRPr="00CE610C">
              <w:rPr>
                <w:lang w:val="en-GB"/>
              </w:rPr>
              <w:t>Resolution Time</w:t>
            </w:r>
          </w:p>
        </w:tc>
      </w:tr>
      <w:tr w:rsidR="00A44AF8" w:rsidRPr="00CE610C" w14:paraId="776E66A7" w14:textId="77777777">
        <w:trPr>
          <w:trHeight w:val="87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21610A7" w14:textId="77777777" w:rsidR="00A44AF8" w:rsidRPr="00CE610C" w:rsidRDefault="004105E9">
            <w:pPr>
              <w:spacing w:before="240" w:after="0" w:line="276" w:lineRule="auto"/>
              <w:rPr>
                <w:lang w:val="en-GB"/>
              </w:rPr>
            </w:pPr>
            <w:r w:rsidRPr="00CE610C">
              <w:rPr>
                <w:lang w:val="en-GB"/>
              </w:rPr>
              <w:t>Critical (P1)</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6389B3A7" w14:textId="77777777" w:rsidR="00A44AF8" w:rsidRPr="00CE610C" w:rsidRDefault="004105E9">
            <w:pPr>
              <w:spacing w:before="240" w:after="0" w:line="276" w:lineRule="auto"/>
              <w:rPr>
                <w:lang w:val="en-GB"/>
              </w:rPr>
            </w:pPr>
            <w:r w:rsidRPr="00CE610C">
              <w:rPr>
                <w:lang w:val="en-GB"/>
              </w:rPr>
              <w:t>Complete service outage, DSaaS inaccessible</w:t>
            </w:r>
          </w:p>
        </w:tc>
        <w:tc>
          <w:tcPr>
            <w:tcW w:w="2190" w:type="dxa"/>
            <w:tcBorders>
              <w:top w:val="nil"/>
              <w:left w:val="nil"/>
              <w:bottom w:val="single" w:sz="8" w:space="0" w:color="000000"/>
              <w:right w:val="single" w:sz="8" w:space="0" w:color="000000"/>
            </w:tcBorders>
            <w:tcMar>
              <w:top w:w="0" w:type="dxa"/>
              <w:left w:w="100" w:type="dxa"/>
              <w:bottom w:w="0" w:type="dxa"/>
              <w:right w:w="100" w:type="dxa"/>
            </w:tcMar>
          </w:tcPr>
          <w:p w14:paraId="34BDF778" w14:textId="77777777" w:rsidR="00A44AF8" w:rsidRPr="00CE610C" w:rsidRDefault="004105E9">
            <w:pPr>
              <w:spacing w:before="240" w:after="0" w:line="276" w:lineRule="auto"/>
              <w:rPr>
                <w:lang w:val="en-GB"/>
              </w:rPr>
            </w:pPr>
            <w:r w:rsidRPr="00CE610C">
              <w:rPr>
                <w:lang w:val="en-GB"/>
              </w:rPr>
              <w:t>1 hour</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76CB7C59" w14:textId="77777777" w:rsidR="00A44AF8" w:rsidRPr="00CE610C" w:rsidRDefault="004105E9">
            <w:pPr>
              <w:spacing w:before="240" w:after="0" w:line="276" w:lineRule="auto"/>
              <w:rPr>
                <w:lang w:val="en-GB"/>
              </w:rPr>
            </w:pPr>
            <w:r w:rsidRPr="00CE610C">
              <w:rPr>
                <w:lang w:val="en-GB"/>
              </w:rPr>
              <w:t>4 hours</w:t>
            </w:r>
          </w:p>
        </w:tc>
      </w:tr>
      <w:tr w:rsidR="00A44AF8" w:rsidRPr="00CE610C" w14:paraId="5F93E85F" w14:textId="77777777">
        <w:trPr>
          <w:trHeight w:val="87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1650C7A" w14:textId="77777777" w:rsidR="00A44AF8" w:rsidRPr="00CE610C" w:rsidRDefault="004105E9">
            <w:pPr>
              <w:spacing w:before="240" w:after="0" w:line="276" w:lineRule="auto"/>
              <w:rPr>
                <w:lang w:val="en-GB"/>
              </w:rPr>
            </w:pPr>
            <w:r w:rsidRPr="00CE610C">
              <w:rPr>
                <w:lang w:val="en-GB"/>
              </w:rPr>
              <w:t>High (P2)</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7C9C8F3D" w14:textId="77777777" w:rsidR="00A44AF8" w:rsidRPr="00CE610C" w:rsidRDefault="004105E9">
            <w:pPr>
              <w:spacing w:before="240" w:after="0" w:line="276" w:lineRule="auto"/>
              <w:rPr>
                <w:lang w:val="en-GB"/>
              </w:rPr>
            </w:pPr>
            <w:r w:rsidRPr="00CE610C">
              <w:rPr>
                <w:lang w:val="en-GB"/>
              </w:rPr>
              <w:t>Major functionality degradation, partial outage</w:t>
            </w:r>
          </w:p>
        </w:tc>
        <w:tc>
          <w:tcPr>
            <w:tcW w:w="2190" w:type="dxa"/>
            <w:tcBorders>
              <w:top w:val="nil"/>
              <w:left w:val="nil"/>
              <w:bottom w:val="single" w:sz="8" w:space="0" w:color="000000"/>
              <w:right w:val="single" w:sz="8" w:space="0" w:color="000000"/>
            </w:tcBorders>
            <w:tcMar>
              <w:top w:w="0" w:type="dxa"/>
              <w:left w:w="100" w:type="dxa"/>
              <w:bottom w:w="0" w:type="dxa"/>
              <w:right w:w="100" w:type="dxa"/>
            </w:tcMar>
          </w:tcPr>
          <w:p w14:paraId="1D301F15" w14:textId="77777777" w:rsidR="00A44AF8" w:rsidRPr="00CE610C" w:rsidRDefault="004105E9">
            <w:pPr>
              <w:spacing w:before="240" w:after="0" w:line="276" w:lineRule="auto"/>
              <w:rPr>
                <w:lang w:val="en-GB"/>
              </w:rPr>
            </w:pPr>
            <w:r w:rsidRPr="00CE610C">
              <w:rPr>
                <w:lang w:val="en-GB"/>
              </w:rPr>
              <w:t>4 hours</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5A252F49" w14:textId="77777777" w:rsidR="00A44AF8" w:rsidRPr="00CE610C" w:rsidRDefault="004105E9">
            <w:pPr>
              <w:spacing w:before="240" w:after="0" w:line="276" w:lineRule="auto"/>
              <w:rPr>
                <w:lang w:val="en-GB"/>
              </w:rPr>
            </w:pPr>
            <w:r w:rsidRPr="00CE610C">
              <w:rPr>
                <w:lang w:val="en-GB"/>
              </w:rPr>
              <w:t>1 business day</w:t>
            </w:r>
          </w:p>
        </w:tc>
      </w:tr>
      <w:tr w:rsidR="00A44AF8" w:rsidRPr="00CE610C" w14:paraId="530FDE6C" w14:textId="77777777">
        <w:trPr>
          <w:trHeight w:val="870"/>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8467115" w14:textId="77777777" w:rsidR="00A44AF8" w:rsidRPr="00CE610C" w:rsidRDefault="004105E9">
            <w:pPr>
              <w:spacing w:before="240" w:after="0" w:line="276" w:lineRule="auto"/>
              <w:rPr>
                <w:lang w:val="en-GB"/>
              </w:rPr>
            </w:pPr>
            <w:r w:rsidRPr="00CE610C">
              <w:rPr>
                <w:lang w:val="en-GB"/>
              </w:rPr>
              <w:t>Medium (P3)</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516D1409" w14:textId="77777777" w:rsidR="00A44AF8" w:rsidRPr="00CE610C" w:rsidRDefault="004105E9">
            <w:pPr>
              <w:spacing w:before="240" w:after="0" w:line="276" w:lineRule="auto"/>
              <w:rPr>
                <w:lang w:val="en-GB"/>
              </w:rPr>
            </w:pPr>
            <w:r w:rsidRPr="00CE610C">
              <w:rPr>
                <w:lang w:val="en-GB"/>
              </w:rPr>
              <w:t>Minor issue, workaround available</w:t>
            </w:r>
          </w:p>
        </w:tc>
        <w:tc>
          <w:tcPr>
            <w:tcW w:w="2190" w:type="dxa"/>
            <w:tcBorders>
              <w:top w:val="nil"/>
              <w:left w:val="nil"/>
              <w:bottom w:val="single" w:sz="8" w:space="0" w:color="000000"/>
              <w:right w:val="single" w:sz="8" w:space="0" w:color="000000"/>
            </w:tcBorders>
            <w:tcMar>
              <w:top w:w="0" w:type="dxa"/>
              <w:left w:w="100" w:type="dxa"/>
              <w:bottom w:w="0" w:type="dxa"/>
              <w:right w:w="100" w:type="dxa"/>
            </w:tcMar>
          </w:tcPr>
          <w:p w14:paraId="60A67C34" w14:textId="77777777" w:rsidR="00A44AF8" w:rsidRPr="00CE610C" w:rsidRDefault="004105E9">
            <w:pPr>
              <w:spacing w:before="240" w:after="0" w:line="276" w:lineRule="auto"/>
              <w:rPr>
                <w:lang w:val="en-GB"/>
              </w:rPr>
            </w:pPr>
            <w:r w:rsidRPr="00CE610C">
              <w:rPr>
                <w:lang w:val="en-GB"/>
              </w:rPr>
              <w:t>1 business day</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6DF7B60C" w14:textId="77777777" w:rsidR="00A44AF8" w:rsidRPr="00CE610C" w:rsidRDefault="004105E9">
            <w:pPr>
              <w:spacing w:before="240" w:after="0" w:line="276" w:lineRule="auto"/>
              <w:rPr>
                <w:lang w:val="en-GB"/>
              </w:rPr>
            </w:pPr>
            <w:r w:rsidRPr="00CE610C">
              <w:rPr>
                <w:lang w:val="en-GB"/>
              </w:rPr>
              <w:t>3 business days</w:t>
            </w:r>
          </w:p>
        </w:tc>
      </w:tr>
      <w:tr w:rsidR="00A44AF8" w:rsidRPr="00CE610C" w14:paraId="27245CD8" w14:textId="77777777">
        <w:trPr>
          <w:trHeight w:val="585"/>
        </w:trPr>
        <w:tc>
          <w:tcPr>
            <w:tcW w:w="217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2D4BD03" w14:textId="77777777" w:rsidR="00A44AF8" w:rsidRPr="00CE610C" w:rsidRDefault="004105E9">
            <w:pPr>
              <w:spacing w:before="240" w:after="0" w:line="276" w:lineRule="auto"/>
              <w:rPr>
                <w:lang w:val="en-GB"/>
              </w:rPr>
            </w:pPr>
            <w:r w:rsidRPr="00CE610C">
              <w:rPr>
                <w:lang w:val="en-GB"/>
              </w:rPr>
              <w:t>Low (P4)</w:t>
            </w:r>
          </w:p>
        </w:tc>
        <w:tc>
          <w:tcPr>
            <w:tcW w:w="2250" w:type="dxa"/>
            <w:tcBorders>
              <w:top w:val="nil"/>
              <w:left w:val="nil"/>
              <w:bottom w:val="single" w:sz="8" w:space="0" w:color="000000"/>
              <w:right w:val="single" w:sz="8" w:space="0" w:color="000000"/>
            </w:tcBorders>
            <w:tcMar>
              <w:top w:w="0" w:type="dxa"/>
              <w:left w:w="100" w:type="dxa"/>
              <w:bottom w:w="0" w:type="dxa"/>
              <w:right w:w="100" w:type="dxa"/>
            </w:tcMar>
          </w:tcPr>
          <w:p w14:paraId="5663E585" w14:textId="77777777" w:rsidR="00A44AF8" w:rsidRPr="00CE610C" w:rsidRDefault="004105E9">
            <w:pPr>
              <w:spacing w:before="240" w:after="0" w:line="276" w:lineRule="auto"/>
              <w:rPr>
                <w:lang w:val="en-GB"/>
              </w:rPr>
            </w:pPr>
            <w:r w:rsidRPr="00CE610C">
              <w:rPr>
                <w:lang w:val="en-GB"/>
              </w:rPr>
              <w:t>Minor issues or general queries</w:t>
            </w:r>
          </w:p>
        </w:tc>
        <w:tc>
          <w:tcPr>
            <w:tcW w:w="2190" w:type="dxa"/>
            <w:tcBorders>
              <w:top w:val="nil"/>
              <w:left w:val="nil"/>
              <w:bottom w:val="single" w:sz="8" w:space="0" w:color="000000"/>
              <w:right w:val="single" w:sz="8" w:space="0" w:color="000000"/>
            </w:tcBorders>
            <w:tcMar>
              <w:top w:w="0" w:type="dxa"/>
              <w:left w:w="100" w:type="dxa"/>
              <w:bottom w:w="0" w:type="dxa"/>
              <w:right w:w="100" w:type="dxa"/>
            </w:tcMar>
          </w:tcPr>
          <w:p w14:paraId="5168F974" w14:textId="77777777" w:rsidR="00A44AF8" w:rsidRPr="00CE610C" w:rsidRDefault="004105E9">
            <w:pPr>
              <w:spacing w:before="240" w:after="0" w:line="276" w:lineRule="auto"/>
              <w:rPr>
                <w:lang w:val="en-GB"/>
              </w:rPr>
            </w:pPr>
            <w:r w:rsidRPr="00CE610C">
              <w:rPr>
                <w:lang w:val="en-GB"/>
              </w:rPr>
              <w:t>2 business days</w:t>
            </w:r>
          </w:p>
        </w:tc>
        <w:tc>
          <w:tcPr>
            <w:tcW w:w="2220" w:type="dxa"/>
            <w:tcBorders>
              <w:top w:val="nil"/>
              <w:left w:val="nil"/>
              <w:bottom w:val="single" w:sz="8" w:space="0" w:color="000000"/>
              <w:right w:val="single" w:sz="8" w:space="0" w:color="000000"/>
            </w:tcBorders>
            <w:tcMar>
              <w:top w:w="0" w:type="dxa"/>
              <w:left w:w="100" w:type="dxa"/>
              <w:bottom w:w="0" w:type="dxa"/>
              <w:right w:w="100" w:type="dxa"/>
            </w:tcMar>
          </w:tcPr>
          <w:p w14:paraId="4336C4B0" w14:textId="77777777" w:rsidR="00A44AF8" w:rsidRPr="00CE610C" w:rsidRDefault="004105E9">
            <w:pPr>
              <w:spacing w:before="240" w:after="0" w:line="276" w:lineRule="auto"/>
              <w:rPr>
                <w:lang w:val="en-GB"/>
              </w:rPr>
            </w:pPr>
            <w:r w:rsidRPr="00CE610C">
              <w:rPr>
                <w:lang w:val="en-GB"/>
              </w:rPr>
              <w:t>5 business days</w:t>
            </w:r>
          </w:p>
        </w:tc>
      </w:tr>
    </w:tbl>
    <w:p w14:paraId="390A9A31" w14:textId="77777777" w:rsidR="00A44AF8" w:rsidRPr="00CE610C" w:rsidRDefault="00A44AF8">
      <w:pPr>
        <w:ind w:left="360"/>
        <w:rPr>
          <w:lang w:val="en-GB"/>
        </w:rPr>
      </w:pPr>
    </w:p>
    <w:p w14:paraId="66CA2DD4" w14:textId="77777777" w:rsidR="00A44AF8" w:rsidRPr="00CE610C" w:rsidRDefault="00A44AF8">
      <w:pPr>
        <w:ind w:left="360"/>
        <w:rPr>
          <w:lang w:val="en-GB"/>
        </w:rPr>
      </w:pPr>
    </w:p>
    <w:p w14:paraId="754D0AA9" w14:textId="77777777" w:rsidR="00A44AF8" w:rsidRPr="00CE610C" w:rsidRDefault="004105E9">
      <w:pPr>
        <w:pStyle w:val="Nadpis4"/>
        <w:numPr>
          <w:ilvl w:val="0"/>
          <w:numId w:val="11"/>
        </w:numPr>
        <w:rPr>
          <w:lang w:val="en-GB"/>
        </w:rPr>
      </w:pPr>
      <w:bookmarkStart w:id="13" w:name="_heading=h.8qu0vvbrzhcn" w:colFirst="0" w:colLast="0"/>
      <w:bookmarkEnd w:id="13"/>
      <w:r w:rsidRPr="00CE610C">
        <w:rPr>
          <w:lang w:val="en-GB"/>
        </w:rPr>
        <w:t>Technical and Methodological Documentation</w:t>
      </w:r>
    </w:p>
    <w:p w14:paraId="279EDDC5" w14:textId="77777777" w:rsidR="00A44AF8" w:rsidRPr="00CE610C" w:rsidRDefault="004105E9">
      <w:pPr>
        <w:spacing w:before="240" w:after="240"/>
        <w:rPr>
          <w:lang w:val="en-GB"/>
        </w:rPr>
      </w:pPr>
      <w:r w:rsidRPr="00CE610C">
        <w:rPr>
          <w:lang w:val="en-GB"/>
        </w:rPr>
        <w:t>The deliverables shall include a set of documents describing:</w:t>
      </w:r>
    </w:p>
    <w:p w14:paraId="14AEA975" w14:textId="77777777" w:rsidR="00A44AF8" w:rsidRPr="00CE610C" w:rsidRDefault="004105E9">
      <w:pPr>
        <w:numPr>
          <w:ilvl w:val="0"/>
          <w:numId w:val="9"/>
        </w:numPr>
        <w:spacing w:before="240" w:after="0"/>
        <w:rPr>
          <w:lang w:val="en-GB"/>
        </w:rPr>
      </w:pPr>
      <w:r w:rsidRPr="00CE610C">
        <w:rPr>
          <w:lang w:val="en-GB"/>
        </w:rPr>
        <w:t>System architecture (including components, APIs, and integrations)</w:t>
      </w:r>
    </w:p>
    <w:p w14:paraId="0BA7ADA5" w14:textId="77777777" w:rsidR="00A44AF8" w:rsidRPr="00CE610C" w:rsidRDefault="004105E9">
      <w:pPr>
        <w:numPr>
          <w:ilvl w:val="0"/>
          <w:numId w:val="9"/>
        </w:numPr>
        <w:spacing w:after="0"/>
        <w:rPr>
          <w:lang w:val="en-GB"/>
        </w:rPr>
      </w:pPr>
      <w:r w:rsidRPr="00CE610C">
        <w:rPr>
          <w:lang w:val="en-GB"/>
        </w:rPr>
        <w:t>Security and operational configuration</w:t>
      </w:r>
    </w:p>
    <w:p w14:paraId="3ABD5900" w14:textId="77777777" w:rsidR="00A44AF8" w:rsidRPr="00CE610C" w:rsidRDefault="004105E9">
      <w:pPr>
        <w:numPr>
          <w:ilvl w:val="0"/>
          <w:numId w:val="9"/>
        </w:numPr>
        <w:spacing w:after="0"/>
        <w:rPr>
          <w:lang w:val="en-GB"/>
        </w:rPr>
      </w:pPr>
      <w:r w:rsidRPr="00CE610C">
        <w:rPr>
          <w:lang w:val="en-GB"/>
        </w:rPr>
        <w:t>User guides for administrators and participants</w:t>
      </w:r>
    </w:p>
    <w:p w14:paraId="072119F1" w14:textId="054599AB" w:rsidR="00E11352" w:rsidRPr="00CE610C" w:rsidRDefault="004105E9" w:rsidP="008445CA">
      <w:pPr>
        <w:numPr>
          <w:ilvl w:val="0"/>
          <w:numId w:val="9"/>
        </w:numPr>
        <w:spacing w:after="240"/>
        <w:rPr>
          <w:lang w:val="en-GB"/>
        </w:rPr>
      </w:pPr>
      <w:r w:rsidRPr="00CE610C">
        <w:rPr>
          <w:lang w:val="en-GB"/>
        </w:rPr>
        <w:t>Onboarding methodology for new partners</w:t>
      </w:r>
      <w:r w:rsidR="00E11352" w:rsidRPr="00CE610C">
        <w:rPr>
          <w:lang w:val="en-GB"/>
        </w:rPr>
        <w:br w:type="page"/>
      </w:r>
    </w:p>
    <w:p w14:paraId="1B01E5FB" w14:textId="77777777" w:rsidR="00A44AF8" w:rsidRPr="00CE610C" w:rsidRDefault="004105E9">
      <w:pPr>
        <w:pStyle w:val="Nadpis2"/>
        <w:numPr>
          <w:ilvl w:val="0"/>
          <w:numId w:val="3"/>
        </w:numPr>
        <w:rPr>
          <w:lang w:val="en-GB"/>
        </w:rPr>
      </w:pPr>
      <w:bookmarkStart w:id="14" w:name="_heading=h.zg2mke94i71w" w:colFirst="0" w:colLast="0"/>
      <w:bookmarkEnd w:id="14"/>
      <w:r w:rsidRPr="00CE610C">
        <w:rPr>
          <w:lang w:val="en-GB"/>
        </w:rPr>
        <w:lastRenderedPageBreak/>
        <w:t>Functional Requirements</w:t>
      </w:r>
    </w:p>
    <w:p w14:paraId="32E07C91" w14:textId="77777777" w:rsidR="00A44AF8" w:rsidRPr="00CE610C" w:rsidRDefault="004105E9" w:rsidP="00E11352">
      <w:pPr>
        <w:jc w:val="both"/>
        <w:rPr>
          <w:lang w:val="en-GB"/>
        </w:rPr>
      </w:pPr>
      <w:r w:rsidRPr="00CE610C">
        <w:rPr>
          <w:lang w:val="en-GB"/>
        </w:rPr>
        <w:t xml:space="preserve">The subject of the contract is the delivery of a technological solution that ensures the </w:t>
      </w:r>
      <w:r w:rsidRPr="00CE610C">
        <w:rPr>
          <w:b/>
          <w:lang w:val="en-GB"/>
        </w:rPr>
        <w:t>functional operation of a data space</w:t>
      </w:r>
      <w:r w:rsidRPr="00CE610C">
        <w:rPr>
          <w:lang w:val="en-GB"/>
        </w:rPr>
        <w:t xml:space="preserve"> with emphasis on </w:t>
      </w:r>
      <w:r w:rsidRPr="00CE610C">
        <w:rPr>
          <w:b/>
          <w:lang w:val="en-GB"/>
        </w:rPr>
        <w:t>data sovereignty, transparency, interoperability, scalability, and security</w:t>
      </w:r>
      <w:r w:rsidRPr="00CE610C">
        <w:rPr>
          <w:lang w:val="en-GB"/>
        </w:rPr>
        <w:t>. This chapter outlines the key functional requirements for the delivered solution.</w:t>
      </w:r>
    </w:p>
    <w:p w14:paraId="69178ADC" w14:textId="77777777" w:rsidR="00A44AF8" w:rsidRPr="00CE610C" w:rsidRDefault="004105E9">
      <w:pPr>
        <w:pStyle w:val="Nadpis3"/>
        <w:numPr>
          <w:ilvl w:val="1"/>
          <w:numId w:val="21"/>
        </w:numPr>
        <w:ind w:left="716"/>
        <w:rPr>
          <w:lang w:val="en-GB"/>
        </w:rPr>
      </w:pPr>
      <w:r w:rsidRPr="00CE610C">
        <w:rPr>
          <w:lang w:val="en-GB"/>
        </w:rPr>
        <w:t>Identity Management and Participant Verification</w:t>
      </w:r>
    </w:p>
    <w:p w14:paraId="4736FF00" w14:textId="77777777" w:rsidR="00A44AF8" w:rsidRPr="00CE610C" w:rsidRDefault="004105E9" w:rsidP="00E11352">
      <w:pPr>
        <w:jc w:val="both"/>
        <w:rPr>
          <w:lang w:val="en-GB"/>
        </w:rPr>
      </w:pPr>
      <w:r w:rsidRPr="00CE610C">
        <w:rPr>
          <w:lang w:val="en-GB"/>
        </w:rPr>
        <w:t xml:space="preserve">The system must enable the </w:t>
      </w:r>
      <w:r w:rsidRPr="00CE610C">
        <w:rPr>
          <w:b/>
          <w:lang w:val="en-GB"/>
        </w:rPr>
        <w:t>registration, verification, and management of all data space participants</w:t>
      </w:r>
      <w:r w:rsidRPr="00CE610C">
        <w:rPr>
          <w:lang w:val="en-GB"/>
        </w:rPr>
        <w:t xml:space="preserve"> in accordance with a common European data space trust framework (e.g. GAIA-X, iSHARE, ...).</w:t>
      </w:r>
    </w:p>
    <w:p w14:paraId="23E17E1D" w14:textId="77777777" w:rsidR="00A44AF8" w:rsidRPr="00CE610C" w:rsidRDefault="004105E9">
      <w:pPr>
        <w:rPr>
          <w:lang w:val="en-GB"/>
        </w:rPr>
      </w:pPr>
      <w:r w:rsidRPr="00CE610C">
        <w:rPr>
          <w:lang w:val="en-GB"/>
        </w:rPr>
        <w:t>It must support:</w:t>
      </w:r>
    </w:p>
    <w:p w14:paraId="1CAFF395" w14:textId="77777777" w:rsidR="00A44AF8" w:rsidRPr="00CE610C" w:rsidRDefault="004105E9">
      <w:pPr>
        <w:numPr>
          <w:ilvl w:val="0"/>
          <w:numId w:val="12"/>
        </w:numPr>
        <w:spacing w:after="0"/>
        <w:rPr>
          <w:lang w:val="en-GB"/>
        </w:rPr>
      </w:pPr>
      <w:r w:rsidRPr="00CE610C">
        <w:rPr>
          <w:lang w:val="en-GB"/>
        </w:rPr>
        <w:t>Identity verification based on European Digital Identity (EUDI Wallet, eIDAS 2.0 ready),</w:t>
      </w:r>
    </w:p>
    <w:p w14:paraId="252054D3" w14:textId="77777777" w:rsidR="00A44AF8" w:rsidRPr="00CE610C" w:rsidRDefault="004105E9">
      <w:pPr>
        <w:numPr>
          <w:ilvl w:val="0"/>
          <w:numId w:val="12"/>
        </w:numPr>
        <w:spacing w:after="0"/>
        <w:rPr>
          <w:lang w:val="en-GB"/>
        </w:rPr>
      </w:pPr>
      <w:r w:rsidRPr="00CE610C">
        <w:rPr>
          <w:lang w:val="en-GB"/>
        </w:rPr>
        <w:t>A trusted identity provider with optional integration with national or sectoral registries,</w:t>
      </w:r>
    </w:p>
    <w:p w14:paraId="6462F73F" w14:textId="77777777" w:rsidR="00A44AF8" w:rsidRPr="00CE610C" w:rsidRDefault="004105E9">
      <w:pPr>
        <w:numPr>
          <w:ilvl w:val="0"/>
          <w:numId w:val="12"/>
        </w:numPr>
        <w:spacing w:after="0"/>
        <w:rPr>
          <w:lang w:val="en-GB"/>
        </w:rPr>
      </w:pPr>
      <w:r w:rsidRPr="00CE610C">
        <w:rPr>
          <w:lang w:val="en-GB"/>
        </w:rPr>
        <w:t>Logging of participant certificates and attributes (e.g., roles, permissions, references).</w:t>
      </w:r>
    </w:p>
    <w:p w14:paraId="43B40880" w14:textId="77777777" w:rsidR="00A44AF8" w:rsidRPr="00CE610C" w:rsidRDefault="004105E9">
      <w:pPr>
        <w:pStyle w:val="Nadpis3"/>
        <w:numPr>
          <w:ilvl w:val="1"/>
          <w:numId w:val="21"/>
        </w:numPr>
        <w:ind w:left="1418" w:hanging="1134"/>
        <w:rPr>
          <w:lang w:val="en-GB"/>
        </w:rPr>
      </w:pPr>
      <w:r w:rsidRPr="00CE610C">
        <w:rPr>
          <w:lang w:val="en-GB"/>
        </w:rPr>
        <w:t>Data Publication and Cataloging</w:t>
      </w:r>
    </w:p>
    <w:p w14:paraId="6CB6DD74" w14:textId="77777777" w:rsidR="00A44AF8" w:rsidRPr="00CE610C" w:rsidRDefault="004105E9" w:rsidP="00E11352">
      <w:pPr>
        <w:jc w:val="both"/>
        <w:rPr>
          <w:lang w:val="en-GB"/>
        </w:rPr>
      </w:pPr>
      <w:r w:rsidRPr="00CE610C">
        <w:rPr>
          <w:lang w:val="en-GB"/>
        </w:rPr>
        <w:t xml:space="preserve">Participants must be able to publish and describe their data sources through </w:t>
      </w:r>
      <w:r w:rsidRPr="00CE610C">
        <w:rPr>
          <w:b/>
          <w:lang w:val="en-GB"/>
        </w:rPr>
        <w:t>metadata records</w:t>
      </w:r>
      <w:r w:rsidRPr="00CE610C">
        <w:rPr>
          <w:lang w:val="en-GB"/>
        </w:rPr>
        <w:t xml:space="preserve"> compatible with DCAT-AP or similar open standards.</w:t>
      </w:r>
    </w:p>
    <w:p w14:paraId="3E5AABDE" w14:textId="77777777" w:rsidR="00A44AF8" w:rsidRPr="00CE610C" w:rsidRDefault="004105E9" w:rsidP="00E11352">
      <w:pPr>
        <w:jc w:val="both"/>
        <w:rPr>
          <w:lang w:val="en-GB"/>
        </w:rPr>
      </w:pPr>
      <w:r w:rsidRPr="00CE610C">
        <w:rPr>
          <w:lang w:val="en-GB"/>
        </w:rPr>
        <w:t xml:space="preserve">Metadata must be published via a </w:t>
      </w:r>
      <w:r w:rsidRPr="00CE610C">
        <w:rPr>
          <w:b/>
          <w:lang w:val="en-GB"/>
        </w:rPr>
        <w:t>Metadata Broker</w:t>
      </w:r>
      <w:r w:rsidRPr="00CE610C">
        <w:rPr>
          <w:lang w:val="en-GB"/>
        </w:rPr>
        <w:t>, including:</w:t>
      </w:r>
    </w:p>
    <w:p w14:paraId="37803FE3" w14:textId="77777777" w:rsidR="00A44AF8" w:rsidRPr="00CE610C" w:rsidRDefault="004105E9">
      <w:pPr>
        <w:numPr>
          <w:ilvl w:val="0"/>
          <w:numId w:val="12"/>
        </w:numPr>
        <w:spacing w:after="0"/>
        <w:rPr>
          <w:lang w:val="en-GB"/>
        </w:rPr>
      </w:pPr>
      <w:r w:rsidRPr="00CE610C">
        <w:rPr>
          <w:lang w:val="en-GB"/>
        </w:rPr>
        <w:t>Technical description of data</w:t>
      </w:r>
    </w:p>
    <w:p w14:paraId="4E1FB1F1" w14:textId="77777777" w:rsidR="00A44AF8" w:rsidRPr="00CE610C" w:rsidRDefault="004105E9">
      <w:pPr>
        <w:numPr>
          <w:ilvl w:val="0"/>
          <w:numId w:val="12"/>
        </w:numPr>
        <w:spacing w:after="0"/>
        <w:rPr>
          <w:lang w:val="en-GB"/>
        </w:rPr>
      </w:pPr>
      <w:r w:rsidRPr="00CE610C">
        <w:rPr>
          <w:lang w:val="en-GB"/>
        </w:rPr>
        <w:t>Business and contractual terms (usage policies),</w:t>
      </w:r>
    </w:p>
    <w:p w14:paraId="30FA5985" w14:textId="77777777" w:rsidR="00A44AF8" w:rsidRPr="00CE610C" w:rsidRDefault="004105E9">
      <w:pPr>
        <w:numPr>
          <w:ilvl w:val="0"/>
          <w:numId w:val="12"/>
        </w:numPr>
        <w:spacing w:after="0"/>
        <w:rPr>
          <w:lang w:val="en-GB"/>
        </w:rPr>
      </w:pPr>
      <w:r w:rsidRPr="00CE610C">
        <w:rPr>
          <w:lang w:val="en-GB"/>
        </w:rPr>
        <w:t>Provider contact and identity,</w:t>
      </w:r>
    </w:p>
    <w:p w14:paraId="0F491D89" w14:textId="77777777" w:rsidR="00A44AF8" w:rsidRPr="00CE610C" w:rsidRDefault="004105E9">
      <w:pPr>
        <w:numPr>
          <w:ilvl w:val="0"/>
          <w:numId w:val="12"/>
        </w:numPr>
        <w:spacing w:after="0"/>
        <w:rPr>
          <w:lang w:val="en-GB"/>
        </w:rPr>
      </w:pPr>
      <w:r w:rsidRPr="00CE610C">
        <w:rPr>
          <w:lang w:val="en-GB"/>
        </w:rPr>
        <w:t>Domain-specific classification and tagging.</w:t>
      </w:r>
    </w:p>
    <w:p w14:paraId="02FEB88F" w14:textId="77777777" w:rsidR="00A44AF8" w:rsidRPr="00CE610C" w:rsidRDefault="004105E9">
      <w:pPr>
        <w:pStyle w:val="Nadpis3"/>
        <w:numPr>
          <w:ilvl w:val="1"/>
          <w:numId w:val="21"/>
        </w:numPr>
        <w:ind w:left="1418" w:hanging="1134"/>
        <w:rPr>
          <w:lang w:val="en-GB"/>
        </w:rPr>
      </w:pPr>
      <w:r w:rsidRPr="00CE610C">
        <w:rPr>
          <w:lang w:val="en-GB"/>
        </w:rPr>
        <w:t>Data Usage Policy Negotiation and Enforcement</w:t>
      </w:r>
    </w:p>
    <w:p w14:paraId="00FB0ABD" w14:textId="77777777" w:rsidR="00A44AF8" w:rsidRPr="00CE610C" w:rsidRDefault="004105E9" w:rsidP="00E11352">
      <w:pPr>
        <w:jc w:val="both"/>
        <w:rPr>
          <w:lang w:val="en-GB"/>
        </w:rPr>
      </w:pPr>
      <w:r w:rsidRPr="00CE610C">
        <w:rPr>
          <w:lang w:val="en-GB"/>
        </w:rPr>
        <w:t xml:space="preserve">The system must support a mechanism for </w:t>
      </w:r>
      <w:r w:rsidRPr="00CE610C">
        <w:rPr>
          <w:b/>
          <w:lang w:val="en-GB"/>
        </w:rPr>
        <w:t>contract negotiation</w:t>
      </w:r>
      <w:r w:rsidRPr="00CE610C">
        <w:rPr>
          <w:lang w:val="en-GB"/>
        </w:rPr>
        <w:t xml:space="preserve"> between data providers and consumers.</w:t>
      </w:r>
    </w:p>
    <w:p w14:paraId="39D79E66" w14:textId="77777777" w:rsidR="00A44AF8" w:rsidRPr="00CE610C" w:rsidRDefault="004105E9" w:rsidP="00E11352">
      <w:pPr>
        <w:jc w:val="both"/>
        <w:rPr>
          <w:lang w:val="en-GB"/>
        </w:rPr>
      </w:pPr>
      <w:r w:rsidRPr="00CE610C">
        <w:rPr>
          <w:lang w:val="en-GB"/>
        </w:rPr>
        <w:t>It must allow for:</w:t>
      </w:r>
    </w:p>
    <w:p w14:paraId="1FE48033" w14:textId="77777777" w:rsidR="00A44AF8" w:rsidRPr="00CE610C" w:rsidRDefault="004105E9">
      <w:pPr>
        <w:numPr>
          <w:ilvl w:val="0"/>
          <w:numId w:val="12"/>
        </w:numPr>
        <w:spacing w:after="0"/>
        <w:rPr>
          <w:lang w:val="en-GB"/>
        </w:rPr>
      </w:pPr>
      <w:r w:rsidRPr="00CE610C">
        <w:rPr>
          <w:lang w:val="en-GB"/>
        </w:rPr>
        <w:t>Specification of data usage terms (e.g., time limits, purpose, geographic scope),</w:t>
      </w:r>
    </w:p>
    <w:p w14:paraId="1C16E066" w14:textId="77777777" w:rsidR="00A44AF8" w:rsidRPr="00CE610C" w:rsidRDefault="004105E9">
      <w:pPr>
        <w:numPr>
          <w:ilvl w:val="0"/>
          <w:numId w:val="12"/>
        </w:numPr>
        <w:spacing w:after="0"/>
        <w:rPr>
          <w:lang w:val="en-GB"/>
        </w:rPr>
      </w:pPr>
      <w:r w:rsidRPr="00CE610C">
        <w:rPr>
          <w:lang w:val="en-GB"/>
        </w:rPr>
        <w:t>Automated contract conclusion (offer &amp; agreement) and storage,</w:t>
      </w:r>
    </w:p>
    <w:p w14:paraId="553E2447" w14:textId="77777777" w:rsidR="00E11352" w:rsidRPr="00CE610C" w:rsidRDefault="00E11352">
      <w:pPr>
        <w:rPr>
          <w:color w:val="2F5496"/>
          <w:sz w:val="28"/>
          <w:szCs w:val="28"/>
          <w:lang w:val="en-GB"/>
        </w:rPr>
      </w:pPr>
      <w:bookmarkStart w:id="15" w:name="_heading=h.c7wj8gnqvhv4" w:colFirst="0" w:colLast="0"/>
      <w:bookmarkEnd w:id="15"/>
      <w:r w:rsidRPr="00CE610C">
        <w:rPr>
          <w:lang w:val="en-GB"/>
        </w:rPr>
        <w:br w:type="page"/>
      </w:r>
    </w:p>
    <w:p w14:paraId="3EE147D8" w14:textId="5A24EA52" w:rsidR="00A44AF8" w:rsidRPr="00CE610C" w:rsidRDefault="004105E9">
      <w:pPr>
        <w:pStyle w:val="Nadpis3"/>
        <w:numPr>
          <w:ilvl w:val="1"/>
          <w:numId w:val="21"/>
        </w:numPr>
        <w:spacing w:after="0"/>
        <w:ind w:left="1418" w:hanging="1134"/>
        <w:rPr>
          <w:lang w:val="en-GB"/>
        </w:rPr>
      </w:pPr>
      <w:r w:rsidRPr="00CE610C">
        <w:rPr>
          <w:lang w:val="en-GB"/>
        </w:rPr>
        <w:lastRenderedPageBreak/>
        <w:t>Enforcement of policies Data Transmission and Access</w:t>
      </w:r>
    </w:p>
    <w:p w14:paraId="638DEF73" w14:textId="77777777" w:rsidR="00A44AF8" w:rsidRPr="00CE610C" w:rsidRDefault="004105E9">
      <w:pPr>
        <w:rPr>
          <w:lang w:val="en-GB"/>
        </w:rPr>
      </w:pPr>
      <w:r w:rsidRPr="00CE610C">
        <w:rPr>
          <w:lang w:val="en-GB"/>
        </w:rPr>
        <w:t>Data exchange must occur exclusively through Connectors, compatible with Data Space Protocol, ensuring:</w:t>
      </w:r>
    </w:p>
    <w:p w14:paraId="572801A4" w14:textId="77777777" w:rsidR="00A44AF8" w:rsidRPr="00CE610C" w:rsidRDefault="004105E9">
      <w:pPr>
        <w:numPr>
          <w:ilvl w:val="0"/>
          <w:numId w:val="12"/>
        </w:numPr>
        <w:spacing w:after="0"/>
        <w:rPr>
          <w:lang w:val="en-GB"/>
        </w:rPr>
      </w:pPr>
      <w:r w:rsidRPr="00CE610C">
        <w:rPr>
          <w:lang w:val="en-GB"/>
        </w:rPr>
        <w:t>Encrypted data transmission,</w:t>
      </w:r>
    </w:p>
    <w:p w14:paraId="34D3DBE0" w14:textId="77777777" w:rsidR="00A44AF8" w:rsidRPr="00CE610C" w:rsidRDefault="004105E9">
      <w:pPr>
        <w:numPr>
          <w:ilvl w:val="0"/>
          <w:numId w:val="12"/>
        </w:numPr>
        <w:spacing w:after="0"/>
        <w:rPr>
          <w:lang w:val="en-GB"/>
        </w:rPr>
      </w:pPr>
      <w:r w:rsidRPr="00CE610C">
        <w:rPr>
          <w:lang w:val="en-GB"/>
        </w:rPr>
        <w:t>Access control based on agreed contracts,</w:t>
      </w:r>
    </w:p>
    <w:p w14:paraId="3EA6FE69" w14:textId="77777777" w:rsidR="00A44AF8" w:rsidRPr="00CE610C" w:rsidRDefault="004105E9">
      <w:pPr>
        <w:numPr>
          <w:ilvl w:val="0"/>
          <w:numId w:val="12"/>
        </w:numPr>
        <w:spacing w:after="0"/>
        <w:rPr>
          <w:lang w:val="en-GB"/>
        </w:rPr>
      </w:pPr>
      <w:r w:rsidRPr="00CE610C">
        <w:rPr>
          <w:lang w:val="en-GB"/>
        </w:rPr>
        <w:t>Transfer of structured and unstructured data (e.g., CSV, JSON, images, videos),</w:t>
      </w:r>
    </w:p>
    <w:p w14:paraId="277ADA69" w14:textId="77777777" w:rsidR="00A44AF8" w:rsidRPr="00CE610C" w:rsidRDefault="004105E9">
      <w:pPr>
        <w:numPr>
          <w:ilvl w:val="0"/>
          <w:numId w:val="12"/>
        </w:numPr>
        <w:spacing w:after="0"/>
        <w:rPr>
          <w:lang w:val="en-GB"/>
        </w:rPr>
      </w:pPr>
      <w:r w:rsidRPr="00CE610C">
        <w:rPr>
          <w:lang w:val="en-GB"/>
        </w:rPr>
        <w:t>Logging of each transaction for audit purposes.</w:t>
      </w:r>
    </w:p>
    <w:p w14:paraId="2F19C6F0" w14:textId="77777777" w:rsidR="00A44AF8" w:rsidRPr="00CE610C" w:rsidRDefault="004105E9">
      <w:pPr>
        <w:pStyle w:val="Nadpis3"/>
        <w:numPr>
          <w:ilvl w:val="1"/>
          <w:numId w:val="21"/>
        </w:numPr>
        <w:ind w:left="1418" w:hanging="1134"/>
        <w:rPr>
          <w:lang w:val="en-GB"/>
        </w:rPr>
      </w:pPr>
      <w:r w:rsidRPr="00CE610C">
        <w:rPr>
          <w:lang w:val="en-GB"/>
        </w:rPr>
        <w:t xml:space="preserve">Auditability, Trust and Traceability </w:t>
      </w:r>
    </w:p>
    <w:p w14:paraId="0EA09896" w14:textId="1C938341" w:rsidR="003F6D2F" w:rsidRPr="00CE610C" w:rsidRDefault="003F6D2F" w:rsidP="00E11352">
      <w:pPr>
        <w:pStyle w:val="Normlnweb"/>
        <w:jc w:val="both"/>
        <w:rPr>
          <w:lang w:val="en-GB"/>
        </w:rPr>
      </w:pPr>
      <w:r w:rsidRPr="00CE610C">
        <w:rPr>
          <w:lang w:val="en-GB"/>
        </w:rPr>
        <w:t>All operations within the data space must be auditable, transparent, and traceable in order to demonstrate compliance with contractual terms and data space rules</w:t>
      </w:r>
      <w:r w:rsidR="00E11352" w:rsidRPr="00CE610C">
        <w:rPr>
          <w:lang w:val="en-GB"/>
        </w:rPr>
        <w:t>.</w:t>
      </w:r>
    </w:p>
    <w:p w14:paraId="420A5C4D" w14:textId="77777777" w:rsidR="003F6D2F" w:rsidRPr="00CE610C" w:rsidRDefault="003F6D2F" w:rsidP="003F6D2F">
      <w:pPr>
        <w:pStyle w:val="Normlnweb"/>
        <w:rPr>
          <w:lang w:val="en-GB"/>
        </w:rPr>
      </w:pPr>
      <w:r w:rsidRPr="00CE610C">
        <w:rPr>
          <w:rStyle w:val="Siln"/>
          <w:rFonts w:eastAsiaTheme="majorEastAsia"/>
          <w:lang w:val="en-GB"/>
        </w:rPr>
        <w:t>Minimum requirements:</w:t>
      </w:r>
    </w:p>
    <w:p w14:paraId="2283DD73" w14:textId="77777777" w:rsidR="003F6D2F" w:rsidRPr="00CE610C" w:rsidRDefault="003F6D2F" w:rsidP="003F6D2F">
      <w:pPr>
        <w:pStyle w:val="Normlnweb"/>
        <w:numPr>
          <w:ilvl w:val="0"/>
          <w:numId w:val="25"/>
        </w:numPr>
        <w:spacing w:after="120" w:afterAutospacing="0" w:line="276" w:lineRule="auto"/>
        <w:ind w:hanging="357"/>
        <w:rPr>
          <w:lang w:val="en-GB"/>
        </w:rPr>
      </w:pPr>
      <w:r w:rsidRPr="00CE610C">
        <w:rPr>
          <w:rStyle w:val="Siln"/>
          <w:rFonts w:eastAsiaTheme="majorEastAsia"/>
          <w:lang w:val="en-GB"/>
        </w:rPr>
        <w:t>Decentralized logging (default mode)</w:t>
      </w:r>
    </w:p>
    <w:p w14:paraId="37D358B3"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Each data space participant must maintain local audit records of all data transactions performed through their connector/hub, including:</w:t>
      </w:r>
    </w:p>
    <w:p w14:paraId="41FE8F4A" w14:textId="77777777" w:rsidR="003F6D2F" w:rsidRPr="00CE610C" w:rsidRDefault="003F6D2F" w:rsidP="003F6D2F">
      <w:pPr>
        <w:pStyle w:val="Normlnweb"/>
        <w:numPr>
          <w:ilvl w:val="2"/>
          <w:numId w:val="25"/>
        </w:numPr>
        <w:spacing w:after="120" w:afterAutospacing="0" w:line="276" w:lineRule="auto"/>
        <w:ind w:hanging="357"/>
        <w:rPr>
          <w:lang w:val="en-GB"/>
        </w:rPr>
      </w:pPr>
      <w:r w:rsidRPr="00CE610C">
        <w:rPr>
          <w:lang w:val="en-GB"/>
        </w:rPr>
        <w:t>Identification of the data provider and recipient,</w:t>
      </w:r>
    </w:p>
    <w:p w14:paraId="5DCBCF91" w14:textId="77777777" w:rsidR="003F6D2F" w:rsidRPr="00CE610C" w:rsidRDefault="003F6D2F" w:rsidP="003F6D2F">
      <w:pPr>
        <w:pStyle w:val="Normlnweb"/>
        <w:numPr>
          <w:ilvl w:val="2"/>
          <w:numId w:val="25"/>
        </w:numPr>
        <w:spacing w:after="120" w:afterAutospacing="0" w:line="276" w:lineRule="auto"/>
        <w:ind w:hanging="357"/>
        <w:rPr>
          <w:lang w:val="en-GB"/>
        </w:rPr>
      </w:pPr>
      <w:r w:rsidRPr="00CE610C">
        <w:rPr>
          <w:lang w:val="en-GB"/>
        </w:rPr>
        <w:t>Timestamp of the transfer,</w:t>
      </w:r>
    </w:p>
    <w:p w14:paraId="6EE6C4AA" w14:textId="77777777" w:rsidR="003F6D2F" w:rsidRPr="00CE610C" w:rsidRDefault="003F6D2F" w:rsidP="003F6D2F">
      <w:pPr>
        <w:pStyle w:val="Normlnweb"/>
        <w:numPr>
          <w:ilvl w:val="2"/>
          <w:numId w:val="25"/>
        </w:numPr>
        <w:spacing w:after="120" w:afterAutospacing="0" w:line="276" w:lineRule="auto"/>
        <w:ind w:hanging="357"/>
        <w:rPr>
          <w:lang w:val="en-GB"/>
        </w:rPr>
      </w:pPr>
      <w:r w:rsidRPr="00CE610C">
        <w:rPr>
          <w:lang w:val="en-GB"/>
        </w:rPr>
        <w:t>Reference to the applied contract/policy,</w:t>
      </w:r>
    </w:p>
    <w:p w14:paraId="2613A98B" w14:textId="77777777" w:rsidR="003F6D2F" w:rsidRPr="00CE610C" w:rsidRDefault="003F6D2F" w:rsidP="003F6D2F">
      <w:pPr>
        <w:pStyle w:val="Normlnweb"/>
        <w:numPr>
          <w:ilvl w:val="2"/>
          <w:numId w:val="25"/>
        </w:numPr>
        <w:spacing w:after="120" w:afterAutospacing="0" w:line="276" w:lineRule="auto"/>
        <w:ind w:hanging="357"/>
        <w:rPr>
          <w:lang w:val="en-GB"/>
        </w:rPr>
      </w:pPr>
      <w:r w:rsidRPr="00CE610C">
        <w:rPr>
          <w:lang w:val="en-GB"/>
        </w:rPr>
        <w:t>Authorization result.</w:t>
      </w:r>
    </w:p>
    <w:p w14:paraId="5B5BEFAB"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These records must be cryptographically protected against unauthorized modification and retained for the period specified by the operational rules of the data space.</w:t>
      </w:r>
    </w:p>
    <w:p w14:paraId="71065978"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Transaction correctness must be verifiable through pairwise comparison of provider and recipient records without the need for a central repository.</w:t>
      </w:r>
    </w:p>
    <w:p w14:paraId="1BA35572" w14:textId="77777777" w:rsidR="003F6D2F" w:rsidRPr="00CE610C" w:rsidRDefault="003F6D2F" w:rsidP="003F6D2F">
      <w:pPr>
        <w:pStyle w:val="Normlnweb"/>
        <w:numPr>
          <w:ilvl w:val="0"/>
          <w:numId w:val="25"/>
        </w:numPr>
        <w:spacing w:after="120" w:afterAutospacing="0" w:line="276" w:lineRule="auto"/>
        <w:ind w:hanging="357"/>
        <w:rPr>
          <w:lang w:val="en-GB"/>
        </w:rPr>
      </w:pPr>
      <w:r w:rsidRPr="00CE610C">
        <w:rPr>
          <w:rStyle w:val="Siln"/>
          <w:rFonts w:eastAsiaTheme="majorEastAsia"/>
          <w:lang w:val="en-GB"/>
        </w:rPr>
        <w:t>Optional central aggregation of audit records</w:t>
      </w:r>
    </w:p>
    <w:p w14:paraId="6411ABD6"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The solution must allow (based on decisions and rules defined by the data space operator) the aggregation of selected audit records into a central repository operated by the Hradec Králové Region as a trusted public institution.</w:t>
      </w:r>
    </w:p>
    <w:p w14:paraId="14FA1E24"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Central aggregation must be configurable at the level of individual participants and activated only with their consent or based on contractual agreements.</w:t>
      </w:r>
    </w:p>
    <w:p w14:paraId="5A63060C"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The purpose of central aggregation may include operational oversight, reporting, incident analysis, or ensuring compliance with regulatory requirements.</w:t>
      </w:r>
    </w:p>
    <w:p w14:paraId="23EBD254" w14:textId="77777777" w:rsidR="003F6D2F" w:rsidRPr="00CE610C" w:rsidRDefault="003F6D2F" w:rsidP="003F6D2F">
      <w:pPr>
        <w:pStyle w:val="Normlnweb"/>
        <w:numPr>
          <w:ilvl w:val="0"/>
          <w:numId w:val="25"/>
        </w:numPr>
        <w:spacing w:after="120" w:afterAutospacing="0" w:line="276" w:lineRule="auto"/>
        <w:ind w:hanging="357"/>
        <w:rPr>
          <w:lang w:val="en-GB"/>
        </w:rPr>
      </w:pPr>
      <w:r w:rsidRPr="00CE610C">
        <w:rPr>
          <w:rStyle w:val="Siln"/>
          <w:rFonts w:eastAsiaTheme="majorEastAsia"/>
          <w:lang w:val="en-GB"/>
        </w:rPr>
        <w:t>Prohibition of third-party centralized control</w:t>
      </w:r>
    </w:p>
    <w:p w14:paraId="28F09D6F"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lastRenderedPageBreak/>
        <w:t>Audit records must not be permanently and universally accessible to any third party outside the data space.</w:t>
      </w:r>
    </w:p>
    <w:p w14:paraId="31D478A7"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Any services equivalent to a Clearing House function must be operated exclusively by data space participants (in a distributed manner) or by the data space operator (Hradec Králové Region), not by an external commercial entity without a contractual relationship with the operator.</w:t>
      </w:r>
    </w:p>
    <w:p w14:paraId="3F256387" w14:textId="77777777" w:rsidR="003F6D2F" w:rsidRPr="00CE610C" w:rsidRDefault="003F6D2F" w:rsidP="003F6D2F">
      <w:pPr>
        <w:pStyle w:val="Normlnweb"/>
        <w:numPr>
          <w:ilvl w:val="0"/>
          <w:numId w:val="25"/>
        </w:numPr>
        <w:spacing w:after="120" w:afterAutospacing="0" w:line="276" w:lineRule="auto"/>
        <w:ind w:hanging="357"/>
        <w:rPr>
          <w:lang w:val="en-GB"/>
        </w:rPr>
      </w:pPr>
      <w:r w:rsidRPr="00CE610C">
        <w:rPr>
          <w:rStyle w:val="Siln"/>
          <w:rFonts w:eastAsiaTheme="majorEastAsia"/>
          <w:lang w:val="en-GB"/>
        </w:rPr>
        <w:t>Standardization and interoperability</w:t>
      </w:r>
    </w:p>
    <w:p w14:paraId="1868091D" w14:textId="77777777" w:rsidR="003F6D2F" w:rsidRPr="00CE610C" w:rsidRDefault="003F6D2F" w:rsidP="003F6D2F">
      <w:pPr>
        <w:pStyle w:val="Normlnweb"/>
        <w:numPr>
          <w:ilvl w:val="1"/>
          <w:numId w:val="25"/>
        </w:numPr>
        <w:spacing w:after="120" w:afterAutospacing="0" w:line="276" w:lineRule="auto"/>
        <w:ind w:hanging="357"/>
        <w:rPr>
          <w:lang w:val="en-GB"/>
        </w:rPr>
      </w:pPr>
      <w:r w:rsidRPr="00CE610C">
        <w:rPr>
          <w:lang w:val="en-GB"/>
        </w:rPr>
        <w:t>Audit records must be maintained in a standardized format (e.g., according to IDS Clearing House API, W3C Verifiable Credentials, or an equivalent open standard) to ensure interoperability with other European data spaces.</w:t>
      </w:r>
    </w:p>
    <w:p w14:paraId="348B306B" w14:textId="77777777" w:rsidR="00A44AF8" w:rsidRPr="00CE610C" w:rsidRDefault="004105E9">
      <w:pPr>
        <w:pStyle w:val="Nadpis3"/>
        <w:numPr>
          <w:ilvl w:val="1"/>
          <w:numId w:val="21"/>
        </w:numPr>
        <w:ind w:left="1418" w:hanging="1134"/>
        <w:rPr>
          <w:lang w:val="en-GB"/>
        </w:rPr>
      </w:pPr>
      <w:r w:rsidRPr="00CE610C">
        <w:rPr>
          <w:lang w:val="en-GB"/>
        </w:rPr>
        <w:t>Onboarding and Participant Management</w:t>
      </w:r>
    </w:p>
    <w:p w14:paraId="5ACD405A" w14:textId="77777777" w:rsidR="00A44AF8" w:rsidRPr="00CE610C" w:rsidRDefault="004105E9">
      <w:pPr>
        <w:rPr>
          <w:lang w:val="en-GB"/>
        </w:rPr>
      </w:pPr>
      <w:r w:rsidRPr="00CE610C">
        <w:rPr>
          <w:lang w:val="en-GB"/>
        </w:rPr>
        <w:t>The solution must allow the data space administrator to:</w:t>
      </w:r>
    </w:p>
    <w:p w14:paraId="0F2AA17A" w14:textId="77777777" w:rsidR="00A44AF8" w:rsidRPr="00CE610C" w:rsidRDefault="004105E9">
      <w:pPr>
        <w:numPr>
          <w:ilvl w:val="0"/>
          <w:numId w:val="12"/>
        </w:numPr>
        <w:spacing w:after="0"/>
        <w:rPr>
          <w:lang w:val="en-GB"/>
        </w:rPr>
      </w:pPr>
      <w:r w:rsidRPr="00CE610C">
        <w:rPr>
          <w:lang w:val="en-GB"/>
        </w:rPr>
        <w:t>Approve entry requests,</w:t>
      </w:r>
    </w:p>
    <w:p w14:paraId="7181848F" w14:textId="77777777" w:rsidR="00A44AF8" w:rsidRPr="00CE610C" w:rsidRDefault="004105E9">
      <w:pPr>
        <w:numPr>
          <w:ilvl w:val="0"/>
          <w:numId w:val="12"/>
        </w:numPr>
        <w:spacing w:after="0"/>
        <w:rPr>
          <w:lang w:val="en-GB"/>
        </w:rPr>
      </w:pPr>
      <w:r w:rsidRPr="00CE610C">
        <w:rPr>
          <w:lang w:val="en-GB"/>
        </w:rPr>
        <w:t>Define participation levels (e.g., provider, consumer, intermediary),</w:t>
      </w:r>
    </w:p>
    <w:p w14:paraId="10C7477B" w14:textId="77777777" w:rsidR="00A44AF8" w:rsidRPr="00CE610C" w:rsidRDefault="004105E9">
      <w:pPr>
        <w:numPr>
          <w:ilvl w:val="0"/>
          <w:numId w:val="12"/>
        </w:numPr>
        <w:spacing w:after="0"/>
        <w:rPr>
          <w:lang w:val="en-GB"/>
        </w:rPr>
      </w:pPr>
      <w:r w:rsidRPr="00CE610C">
        <w:rPr>
          <w:lang w:val="en-GB"/>
        </w:rPr>
        <w:t>Verify compliance with certification requirements  - the IDSA reference architecture and rulebook and common European data space trust frameworks (e.g. GAIA-X, iSHARE, ...),</w:t>
      </w:r>
    </w:p>
    <w:p w14:paraId="480DF1F4" w14:textId="77777777" w:rsidR="00A44AF8" w:rsidRPr="00CE610C" w:rsidRDefault="004105E9">
      <w:pPr>
        <w:numPr>
          <w:ilvl w:val="0"/>
          <w:numId w:val="12"/>
        </w:numPr>
        <w:spacing w:after="0"/>
        <w:rPr>
          <w:lang w:val="en-GB"/>
        </w:rPr>
      </w:pPr>
      <w:r w:rsidRPr="00CE610C">
        <w:rPr>
          <w:lang w:val="en-GB"/>
        </w:rPr>
        <w:t>Monitor participant activities.</w:t>
      </w:r>
    </w:p>
    <w:p w14:paraId="5A08074A" w14:textId="77777777" w:rsidR="00A44AF8" w:rsidRPr="00CE610C" w:rsidRDefault="004105E9">
      <w:pPr>
        <w:pStyle w:val="Nadpis3"/>
        <w:numPr>
          <w:ilvl w:val="1"/>
          <w:numId w:val="21"/>
        </w:numPr>
        <w:ind w:left="1418" w:hanging="1134"/>
        <w:rPr>
          <w:lang w:val="en-GB"/>
        </w:rPr>
      </w:pPr>
      <w:r w:rsidRPr="00CE610C">
        <w:rPr>
          <w:lang w:val="en-GB"/>
        </w:rPr>
        <w:t>Usability and Administration</w:t>
      </w:r>
    </w:p>
    <w:p w14:paraId="010C8012" w14:textId="77777777" w:rsidR="00A44AF8" w:rsidRPr="00CE610C" w:rsidRDefault="004105E9">
      <w:pPr>
        <w:rPr>
          <w:lang w:val="en-GB"/>
        </w:rPr>
      </w:pPr>
      <w:r w:rsidRPr="00CE610C">
        <w:rPr>
          <w:lang w:val="en-GB"/>
        </w:rPr>
        <w:t>The administrative interface must allow:</w:t>
      </w:r>
    </w:p>
    <w:p w14:paraId="5799F260" w14:textId="77777777" w:rsidR="00A44AF8" w:rsidRPr="00CE610C" w:rsidRDefault="004105E9">
      <w:pPr>
        <w:numPr>
          <w:ilvl w:val="0"/>
          <w:numId w:val="12"/>
        </w:numPr>
        <w:spacing w:after="0"/>
        <w:rPr>
          <w:lang w:val="en-GB"/>
        </w:rPr>
      </w:pPr>
      <w:r w:rsidRPr="00CE610C">
        <w:rPr>
          <w:lang w:val="en-GB"/>
        </w:rPr>
        <w:t xml:space="preserve">   Management of services and components,</w:t>
      </w:r>
    </w:p>
    <w:p w14:paraId="47F443CA" w14:textId="77777777" w:rsidR="00A44AF8" w:rsidRPr="00CE610C" w:rsidRDefault="004105E9">
      <w:pPr>
        <w:numPr>
          <w:ilvl w:val="0"/>
          <w:numId w:val="12"/>
        </w:numPr>
        <w:spacing w:after="0"/>
        <w:rPr>
          <w:lang w:val="en-GB"/>
        </w:rPr>
      </w:pPr>
      <w:r w:rsidRPr="00CE610C">
        <w:rPr>
          <w:lang w:val="en-GB"/>
        </w:rPr>
        <w:t xml:space="preserve">   Monitoring of system load and incident logging,</w:t>
      </w:r>
    </w:p>
    <w:p w14:paraId="00D96571" w14:textId="77777777" w:rsidR="00A44AF8" w:rsidRPr="00CE610C" w:rsidRDefault="004105E9">
      <w:pPr>
        <w:numPr>
          <w:ilvl w:val="0"/>
          <w:numId w:val="12"/>
        </w:numPr>
        <w:spacing w:after="0"/>
        <w:rPr>
          <w:lang w:val="en-GB"/>
        </w:rPr>
      </w:pPr>
      <w:r w:rsidRPr="00CE610C">
        <w:rPr>
          <w:lang w:val="en-GB"/>
        </w:rPr>
        <w:t xml:space="preserve">   Access to system statistics and audit logs.</w:t>
      </w:r>
    </w:p>
    <w:p w14:paraId="2F155759" w14:textId="77777777" w:rsidR="00A44AF8" w:rsidRPr="00CE610C" w:rsidRDefault="004105E9">
      <w:pPr>
        <w:rPr>
          <w:lang w:val="en-GB"/>
        </w:rPr>
      </w:pPr>
      <w:r w:rsidRPr="00CE610C">
        <w:rPr>
          <w:lang w:val="en-GB"/>
        </w:rPr>
        <w:t>End users must have access to:</w:t>
      </w:r>
    </w:p>
    <w:p w14:paraId="60C4CD1E" w14:textId="77777777" w:rsidR="00A44AF8" w:rsidRPr="00CE610C" w:rsidRDefault="004105E9">
      <w:pPr>
        <w:numPr>
          <w:ilvl w:val="0"/>
          <w:numId w:val="12"/>
        </w:numPr>
        <w:spacing w:after="0"/>
        <w:rPr>
          <w:lang w:val="en-GB"/>
        </w:rPr>
      </w:pPr>
      <w:r w:rsidRPr="00CE610C">
        <w:rPr>
          <w:lang w:val="en-GB"/>
        </w:rPr>
        <w:t xml:space="preserve">   A user-friendly interface for data publication and search,</w:t>
      </w:r>
    </w:p>
    <w:p w14:paraId="78FDF0CB" w14:textId="77777777" w:rsidR="00A44AF8" w:rsidRPr="00CE610C" w:rsidRDefault="004105E9">
      <w:pPr>
        <w:numPr>
          <w:ilvl w:val="0"/>
          <w:numId w:val="12"/>
        </w:numPr>
        <w:spacing w:after="0"/>
        <w:rPr>
          <w:lang w:val="en-GB"/>
        </w:rPr>
      </w:pPr>
      <w:r w:rsidRPr="00CE610C">
        <w:rPr>
          <w:lang w:val="en-GB"/>
        </w:rPr>
        <w:t xml:space="preserve">   Integration options via REST API or another standardized interface.</w:t>
      </w:r>
    </w:p>
    <w:p w14:paraId="410B8BB0" w14:textId="77777777" w:rsidR="00A44AF8" w:rsidRPr="00CE610C" w:rsidRDefault="004105E9">
      <w:pPr>
        <w:rPr>
          <w:lang w:val="en-GB"/>
        </w:rPr>
      </w:pPr>
      <w:r w:rsidRPr="00CE610C">
        <w:rPr>
          <w:lang w:val="en-GB"/>
        </w:rPr>
        <w:br w:type="page"/>
      </w:r>
    </w:p>
    <w:p w14:paraId="72FAC729" w14:textId="77777777" w:rsidR="00A44AF8" w:rsidRPr="00CE610C" w:rsidRDefault="004105E9">
      <w:pPr>
        <w:pStyle w:val="Nadpis2"/>
        <w:numPr>
          <w:ilvl w:val="0"/>
          <w:numId w:val="13"/>
        </w:numPr>
        <w:rPr>
          <w:lang w:val="en-GB"/>
        </w:rPr>
      </w:pPr>
      <w:r w:rsidRPr="00CE610C">
        <w:rPr>
          <w:lang w:val="en-GB"/>
        </w:rPr>
        <w:lastRenderedPageBreak/>
        <w:t>Technical Requirements</w:t>
      </w:r>
    </w:p>
    <w:p w14:paraId="19B76323" w14:textId="77777777" w:rsidR="00A44AF8" w:rsidRPr="00CE610C" w:rsidRDefault="004105E9" w:rsidP="00E11352">
      <w:pPr>
        <w:jc w:val="both"/>
        <w:rPr>
          <w:lang w:val="en-GB"/>
        </w:rPr>
      </w:pPr>
      <w:r w:rsidRPr="00CE610C">
        <w:rPr>
          <w:lang w:val="en-GB"/>
        </w:rPr>
        <w:t>The technological solution for the data space must be based on open standards, a modular architecture, and the principles of trust, security, and interoperability. The solution must be scalable and portable across cloud and on-premise environments and must support federated integration with other data spaces.</w:t>
      </w:r>
    </w:p>
    <w:p w14:paraId="2B62F747" w14:textId="77777777" w:rsidR="00A44AF8" w:rsidRPr="00CE610C" w:rsidRDefault="004105E9">
      <w:pPr>
        <w:pStyle w:val="Nadpis3"/>
        <w:numPr>
          <w:ilvl w:val="1"/>
          <w:numId w:val="22"/>
        </w:numPr>
        <w:ind w:left="1418" w:hanging="1058"/>
        <w:rPr>
          <w:lang w:val="en-GB"/>
        </w:rPr>
      </w:pPr>
      <w:r w:rsidRPr="00CE610C">
        <w:rPr>
          <w:lang w:val="en-GB"/>
        </w:rPr>
        <w:t>System Architecture</w:t>
      </w:r>
    </w:p>
    <w:p w14:paraId="0EB5362A" w14:textId="77777777" w:rsidR="00A44AF8" w:rsidRPr="00CE610C" w:rsidRDefault="004105E9">
      <w:pPr>
        <w:rPr>
          <w:lang w:val="en-GB"/>
        </w:rPr>
      </w:pPr>
      <w:r w:rsidRPr="00CE610C">
        <w:rPr>
          <w:lang w:val="en-GB"/>
        </w:rPr>
        <w:t>The architecture must be based on:</w:t>
      </w:r>
    </w:p>
    <w:p w14:paraId="58EB94CA" w14:textId="77777777" w:rsidR="00A44AF8" w:rsidRPr="00CE610C" w:rsidRDefault="004105E9">
      <w:pPr>
        <w:numPr>
          <w:ilvl w:val="0"/>
          <w:numId w:val="16"/>
        </w:numPr>
        <w:spacing w:after="0"/>
        <w:rPr>
          <w:b/>
          <w:lang w:val="en-GB"/>
        </w:rPr>
      </w:pPr>
      <w:r w:rsidRPr="00CE610C">
        <w:rPr>
          <w:b/>
          <w:lang w:val="en-GB"/>
        </w:rPr>
        <w:t>IDS Reference Architecture Model (IDS-RAM v4.0 or higher),</w:t>
      </w:r>
    </w:p>
    <w:p w14:paraId="60B7F7AD" w14:textId="77777777" w:rsidR="00A44AF8" w:rsidRPr="00CE610C" w:rsidRDefault="004105E9">
      <w:pPr>
        <w:numPr>
          <w:ilvl w:val="0"/>
          <w:numId w:val="16"/>
        </w:numPr>
        <w:spacing w:after="0"/>
        <w:rPr>
          <w:b/>
          <w:lang w:val="en-GB"/>
        </w:rPr>
      </w:pPr>
      <w:r w:rsidRPr="00CE610C">
        <w:rPr>
          <w:b/>
          <w:lang w:val="en-GB"/>
        </w:rPr>
        <w:t>A common European data space trust framework (e.g. GAIA-X, iSHARE, ...).</w:t>
      </w:r>
    </w:p>
    <w:p w14:paraId="0CA59014" w14:textId="77777777" w:rsidR="00A44AF8" w:rsidRPr="00CE610C" w:rsidRDefault="004105E9">
      <w:pPr>
        <w:numPr>
          <w:ilvl w:val="0"/>
          <w:numId w:val="16"/>
        </w:numPr>
        <w:spacing w:after="0"/>
        <w:rPr>
          <w:b/>
          <w:lang w:val="en-GB"/>
        </w:rPr>
      </w:pPr>
      <w:r w:rsidRPr="00CE610C">
        <w:rPr>
          <w:b/>
          <w:lang w:val="en-GB"/>
        </w:rPr>
        <w:t xml:space="preserve">Data Spaces Building Blocks </w:t>
      </w:r>
      <w:r w:rsidRPr="00CE610C">
        <w:rPr>
          <w:lang w:val="en-GB"/>
        </w:rPr>
        <w:t>defined by the DSSC.</w:t>
      </w:r>
    </w:p>
    <w:p w14:paraId="4694F5C7" w14:textId="77777777" w:rsidR="00A44AF8" w:rsidRPr="00CE610C" w:rsidRDefault="004105E9">
      <w:pPr>
        <w:spacing w:before="120"/>
        <w:rPr>
          <w:lang w:val="en-GB"/>
        </w:rPr>
      </w:pPr>
      <w:r w:rsidRPr="00CE610C">
        <w:rPr>
          <w:lang w:val="en-GB"/>
        </w:rPr>
        <w:t>The delivered solution must support the following features:</w:t>
      </w:r>
    </w:p>
    <w:p w14:paraId="5BA5BB11" w14:textId="5E85A97F" w:rsidR="00A44AF8" w:rsidRPr="00CE610C" w:rsidRDefault="004105E9">
      <w:pPr>
        <w:numPr>
          <w:ilvl w:val="0"/>
          <w:numId w:val="16"/>
        </w:numPr>
        <w:spacing w:after="0"/>
        <w:rPr>
          <w:lang w:val="en-GB"/>
        </w:rPr>
      </w:pPr>
      <w:r w:rsidRPr="00CE610C">
        <w:rPr>
          <w:lang w:val="en-GB"/>
        </w:rPr>
        <w:t xml:space="preserve">Modular deployment of individual components (connector, broker, identity </w:t>
      </w:r>
      <w:r w:rsidR="00E11352" w:rsidRPr="00CE610C">
        <w:rPr>
          <w:lang w:val="en-GB"/>
        </w:rPr>
        <w:t>provider</w:t>
      </w:r>
      <w:r w:rsidRPr="00CE610C">
        <w:rPr>
          <w:lang w:val="en-GB"/>
        </w:rPr>
        <w:t xml:space="preserve"> etc.),</w:t>
      </w:r>
    </w:p>
    <w:p w14:paraId="00066AF9" w14:textId="77777777" w:rsidR="00A44AF8" w:rsidRPr="00CE610C" w:rsidRDefault="004105E9">
      <w:pPr>
        <w:numPr>
          <w:ilvl w:val="0"/>
          <w:numId w:val="16"/>
        </w:numPr>
        <w:spacing w:after="0"/>
        <w:rPr>
          <w:lang w:val="en-GB"/>
        </w:rPr>
      </w:pPr>
      <w:r w:rsidRPr="00CE610C">
        <w:rPr>
          <w:lang w:val="en-GB"/>
        </w:rPr>
        <w:t>Capability for federation with other data spaces,</w:t>
      </w:r>
    </w:p>
    <w:p w14:paraId="1142863C" w14:textId="77777777" w:rsidR="00A44AF8" w:rsidRPr="00CE610C" w:rsidRDefault="004105E9">
      <w:pPr>
        <w:numPr>
          <w:ilvl w:val="0"/>
          <w:numId w:val="16"/>
        </w:numPr>
        <w:spacing w:after="0"/>
        <w:rPr>
          <w:lang w:val="en-GB"/>
        </w:rPr>
      </w:pPr>
      <w:r w:rsidRPr="00CE610C">
        <w:rPr>
          <w:lang w:val="en-GB"/>
        </w:rPr>
        <w:t>A microservices-based or container-based approach (e.g., Docker, Kubernetes).</w:t>
      </w:r>
    </w:p>
    <w:p w14:paraId="402472FB" w14:textId="77777777" w:rsidR="00A44AF8" w:rsidRPr="00CE610C" w:rsidRDefault="004105E9">
      <w:pPr>
        <w:spacing w:before="120"/>
        <w:rPr>
          <w:lang w:val="en-GB"/>
        </w:rPr>
      </w:pPr>
      <w:r w:rsidRPr="00CE610C">
        <w:rPr>
          <w:lang w:val="en-GB"/>
        </w:rPr>
        <w:t>The infrastructure may be:</w:t>
      </w:r>
    </w:p>
    <w:p w14:paraId="515BDDBE" w14:textId="77777777" w:rsidR="00A44AF8" w:rsidRPr="00CE610C" w:rsidRDefault="004105E9">
      <w:pPr>
        <w:numPr>
          <w:ilvl w:val="0"/>
          <w:numId w:val="16"/>
        </w:numPr>
        <w:spacing w:after="0"/>
        <w:rPr>
          <w:lang w:val="en-GB"/>
        </w:rPr>
      </w:pPr>
      <w:r w:rsidRPr="00CE610C">
        <w:rPr>
          <w:lang w:val="en-GB"/>
        </w:rPr>
        <w:t>Deployed on the contracting authority’s premises (on-premise), or</w:t>
      </w:r>
    </w:p>
    <w:p w14:paraId="4C56B27E" w14:textId="77777777" w:rsidR="00A44AF8" w:rsidRPr="00CE610C" w:rsidRDefault="004105E9">
      <w:pPr>
        <w:numPr>
          <w:ilvl w:val="0"/>
          <w:numId w:val="16"/>
        </w:numPr>
        <w:spacing w:after="0"/>
        <w:rPr>
          <w:lang w:val="en-GB"/>
        </w:rPr>
      </w:pPr>
      <w:r w:rsidRPr="00CE610C">
        <w:rPr>
          <w:lang w:val="en-GB"/>
        </w:rPr>
        <w:t xml:space="preserve">Operated in a European cloud environment (e.g., Hetzner, OVHcloud, IONOS, Azure), </w:t>
      </w:r>
      <w:r w:rsidRPr="00CE610C">
        <w:rPr>
          <w:b/>
          <w:lang w:val="en-GB"/>
        </w:rPr>
        <w:t>with an emphasis on data sovereignty and compliance with GDPR.</w:t>
      </w:r>
    </w:p>
    <w:p w14:paraId="350A57E7" w14:textId="77777777" w:rsidR="00A44AF8" w:rsidRPr="00CE610C" w:rsidRDefault="004105E9">
      <w:pPr>
        <w:pStyle w:val="Nadpis3"/>
        <w:numPr>
          <w:ilvl w:val="1"/>
          <w:numId w:val="22"/>
        </w:numPr>
        <w:ind w:left="1418" w:hanging="1058"/>
        <w:rPr>
          <w:lang w:val="en-GB"/>
        </w:rPr>
      </w:pPr>
      <w:r w:rsidRPr="00CE610C">
        <w:rPr>
          <w:lang w:val="en-GB"/>
        </w:rPr>
        <w:t>Applied Standards and Protocols</w:t>
      </w:r>
    </w:p>
    <w:p w14:paraId="68DB015F" w14:textId="77777777" w:rsidR="00A44AF8" w:rsidRPr="00CE610C" w:rsidRDefault="004105E9">
      <w:pPr>
        <w:spacing w:before="240" w:after="240"/>
        <w:rPr>
          <w:lang w:val="en-GB"/>
        </w:rPr>
      </w:pPr>
      <w:r w:rsidRPr="00CE610C">
        <w:rPr>
          <w:lang w:val="en-GB"/>
        </w:rPr>
        <w:t>Where relevant, implementation or integration of the following standards is recommended:</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dashed" w:sz="4" w:space="0" w:color="000000"/>
          <w:insideV w:val="dashed" w:sz="4" w:space="0" w:color="000000"/>
        </w:tblBorders>
        <w:tblLayout w:type="fixed"/>
        <w:tblLook w:val="0400" w:firstRow="0" w:lastRow="0" w:firstColumn="0" w:lastColumn="0" w:noHBand="0" w:noVBand="1"/>
      </w:tblPr>
      <w:tblGrid>
        <w:gridCol w:w="2784"/>
        <w:gridCol w:w="6278"/>
      </w:tblGrid>
      <w:tr w:rsidR="00A44AF8" w:rsidRPr="00CE610C" w14:paraId="19D97A5A" w14:textId="77777777">
        <w:trPr>
          <w:tblHeader/>
        </w:trPr>
        <w:tc>
          <w:tcPr>
            <w:tcW w:w="2784" w:type="dxa"/>
            <w:vAlign w:val="center"/>
          </w:tcPr>
          <w:p w14:paraId="34D08C27" w14:textId="77777777" w:rsidR="00A44AF8" w:rsidRPr="00CE610C" w:rsidRDefault="004105E9">
            <w:pPr>
              <w:spacing w:after="0"/>
              <w:jc w:val="center"/>
              <w:rPr>
                <w:b/>
                <w:i/>
                <w:lang w:val="en-GB"/>
              </w:rPr>
            </w:pPr>
            <w:r w:rsidRPr="00CE610C">
              <w:rPr>
                <w:b/>
                <w:i/>
                <w:lang w:val="en-GB"/>
              </w:rPr>
              <w:t>Area</w:t>
            </w:r>
          </w:p>
        </w:tc>
        <w:tc>
          <w:tcPr>
            <w:tcW w:w="6278" w:type="dxa"/>
            <w:vAlign w:val="center"/>
          </w:tcPr>
          <w:p w14:paraId="3F9D8A90" w14:textId="77777777" w:rsidR="00A44AF8" w:rsidRPr="00CE610C" w:rsidRDefault="004105E9">
            <w:pPr>
              <w:spacing w:after="0"/>
              <w:jc w:val="center"/>
              <w:rPr>
                <w:b/>
                <w:i/>
                <w:lang w:val="en-GB"/>
              </w:rPr>
            </w:pPr>
            <w:r w:rsidRPr="00CE610C">
              <w:rPr>
                <w:b/>
                <w:i/>
                <w:lang w:val="en-GB"/>
              </w:rPr>
              <w:t>Standards and Technologies</w:t>
            </w:r>
          </w:p>
        </w:tc>
      </w:tr>
      <w:tr w:rsidR="00A44AF8" w:rsidRPr="00CE610C" w14:paraId="3471595C" w14:textId="77777777">
        <w:tc>
          <w:tcPr>
            <w:tcW w:w="2784" w:type="dxa"/>
            <w:vAlign w:val="center"/>
          </w:tcPr>
          <w:p w14:paraId="47377F79" w14:textId="77777777" w:rsidR="00A44AF8" w:rsidRPr="00CE610C" w:rsidRDefault="004105E9">
            <w:pPr>
              <w:spacing w:after="0"/>
              <w:rPr>
                <w:i/>
                <w:lang w:val="en-GB"/>
              </w:rPr>
            </w:pPr>
            <w:r w:rsidRPr="00CE610C">
              <w:rPr>
                <w:b/>
                <w:i/>
                <w:lang w:val="en-GB"/>
              </w:rPr>
              <w:t>Identity and Trust</w:t>
            </w:r>
          </w:p>
        </w:tc>
        <w:tc>
          <w:tcPr>
            <w:tcW w:w="6278" w:type="dxa"/>
            <w:vAlign w:val="center"/>
          </w:tcPr>
          <w:p w14:paraId="37222850" w14:textId="77777777" w:rsidR="00A44AF8" w:rsidRPr="00CE610C" w:rsidRDefault="004105E9">
            <w:pPr>
              <w:spacing w:after="0"/>
              <w:rPr>
                <w:i/>
                <w:lang w:val="en-GB"/>
              </w:rPr>
            </w:pPr>
            <w:r w:rsidRPr="00CE610C">
              <w:rPr>
                <w:i/>
                <w:lang w:val="en-GB"/>
              </w:rPr>
              <w:t>eIDAS 2.0, W3C Verifiable Credentials, DID (Decentralized Identifiers), GAIA-X Compliance Services</w:t>
            </w:r>
          </w:p>
        </w:tc>
      </w:tr>
      <w:tr w:rsidR="00A44AF8" w:rsidRPr="00CE610C" w14:paraId="06DE5F30" w14:textId="77777777">
        <w:tc>
          <w:tcPr>
            <w:tcW w:w="2784" w:type="dxa"/>
            <w:vAlign w:val="center"/>
          </w:tcPr>
          <w:p w14:paraId="7B7DDF28" w14:textId="77777777" w:rsidR="00A44AF8" w:rsidRPr="00CE610C" w:rsidRDefault="004105E9">
            <w:pPr>
              <w:spacing w:after="0"/>
              <w:rPr>
                <w:i/>
                <w:lang w:val="en-GB"/>
              </w:rPr>
            </w:pPr>
            <w:r w:rsidRPr="00CE610C">
              <w:rPr>
                <w:b/>
                <w:i/>
                <w:lang w:val="en-GB"/>
              </w:rPr>
              <w:t>Authentication and Authorization</w:t>
            </w:r>
          </w:p>
        </w:tc>
        <w:tc>
          <w:tcPr>
            <w:tcW w:w="6278" w:type="dxa"/>
            <w:vAlign w:val="center"/>
          </w:tcPr>
          <w:p w14:paraId="26E6FF56" w14:textId="77777777" w:rsidR="00A44AF8" w:rsidRPr="00CE610C" w:rsidRDefault="004105E9">
            <w:pPr>
              <w:spacing w:after="0"/>
              <w:rPr>
                <w:i/>
                <w:lang w:val="en-GB"/>
              </w:rPr>
            </w:pPr>
            <w:r w:rsidRPr="00CE610C">
              <w:rPr>
                <w:i/>
                <w:lang w:val="en-GB"/>
              </w:rPr>
              <w:t>OAuth2, OpenID Connect, XACML/ALFA (for policies), Attribute-based Access Control (ABAC)</w:t>
            </w:r>
          </w:p>
        </w:tc>
      </w:tr>
      <w:tr w:rsidR="00A44AF8" w:rsidRPr="00CE610C" w14:paraId="3950C194" w14:textId="77777777">
        <w:tc>
          <w:tcPr>
            <w:tcW w:w="2784" w:type="dxa"/>
            <w:vAlign w:val="center"/>
          </w:tcPr>
          <w:p w14:paraId="1BF658DB" w14:textId="77777777" w:rsidR="00A44AF8" w:rsidRPr="00CE610C" w:rsidRDefault="004105E9">
            <w:pPr>
              <w:spacing w:after="0"/>
              <w:rPr>
                <w:i/>
                <w:lang w:val="en-GB"/>
              </w:rPr>
            </w:pPr>
            <w:r w:rsidRPr="00CE610C">
              <w:rPr>
                <w:b/>
                <w:i/>
                <w:lang w:val="en-GB"/>
              </w:rPr>
              <w:t>Metadata and Cataloging</w:t>
            </w:r>
          </w:p>
        </w:tc>
        <w:tc>
          <w:tcPr>
            <w:tcW w:w="6278" w:type="dxa"/>
            <w:vAlign w:val="center"/>
          </w:tcPr>
          <w:p w14:paraId="54BB87AC" w14:textId="77777777" w:rsidR="00A44AF8" w:rsidRPr="00CE610C" w:rsidRDefault="004105E9">
            <w:pPr>
              <w:spacing w:after="0"/>
              <w:rPr>
                <w:i/>
                <w:lang w:val="en-GB"/>
              </w:rPr>
            </w:pPr>
            <w:r w:rsidRPr="00CE610C">
              <w:rPr>
                <w:i/>
                <w:lang w:val="en-GB"/>
              </w:rPr>
              <w:t>DCAT-AP, NGSI-LD, SHACL, RDF, SPARQL</w:t>
            </w:r>
          </w:p>
        </w:tc>
      </w:tr>
      <w:tr w:rsidR="00A44AF8" w:rsidRPr="00CE610C" w14:paraId="678B7871" w14:textId="77777777">
        <w:tc>
          <w:tcPr>
            <w:tcW w:w="2784" w:type="dxa"/>
            <w:vAlign w:val="center"/>
          </w:tcPr>
          <w:p w14:paraId="6A1F1A6A" w14:textId="77777777" w:rsidR="00A44AF8" w:rsidRPr="00CE610C" w:rsidRDefault="004105E9">
            <w:pPr>
              <w:spacing w:after="0"/>
              <w:rPr>
                <w:i/>
                <w:lang w:val="en-GB"/>
              </w:rPr>
            </w:pPr>
            <w:r w:rsidRPr="00CE610C">
              <w:rPr>
                <w:b/>
                <w:i/>
                <w:lang w:val="en-GB"/>
              </w:rPr>
              <w:t>Contract Management</w:t>
            </w:r>
          </w:p>
        </w:tc>
        <w:tc>
          <w:tcPr>
            <w:tcW w:w="6278" w:type="dxa"/>
            <w:vAlign w:val="center"/>
          </w:tcPr>
          <w:p w14:paraId="46453192" w14:textId="77777777" w:rsidR="00A44AF8" w:rsidRPr="00CE610C" w:rsidRDefault="004105E9">
            <w:pPr>
              <w:spacing w:after="0"/>
              <w:rPr>
                <w:i/>
                <w:lang w:val="en-GB"/>
              </w:rPr>
            </w:pPr>
            <w:r w:rsidRPr="00CE610C">
              <w:rPr>
                <w:i/>
                <w:lang w:val="en-GB"/>
              </w:rPr>
              <w:t>IDS Usage Control Language (LUCON / ODRL), Contract Negotiation Protocol (e.g., EDC or Sovity IDS)</w:t>
            </w:r>
          </w:p>
        </w:tc>
      </w:tr>
      <w:tr w:rsidR="00A44AF8" w:rsidRPr="00CE610C" w14:paraId="4119214D" w14:textId="77777777">
        <w:tc>
          <w:tcPr>
            <w:tcW w:w="2784" w:type="dxa"/>
            <w:vAlign w:val="center"/>
          </w:tcPr>
          <w:p w14:paraId="6C986F0D" w14:textId="77777777" w:rsidR="00A44AF8" w:rsidRPr="00CE610C" w:rsidRDefault="004105E9">
            <w:pPr>
              <w:spacing w:after="0"/>
              <w:rPr>
                <w:i/>
                <w:lang w:val="en-GB"/>
              </w:rPr>
            </w:pPr>
            <w:r w:rsidRPr="00CE610C">
              <w:rPr>
                <w:b/>
                <w:i/>
                <w:lang w:val="en-GB"/>
              </w:rPr>
              <w:t>Data Transfer Protocols</w:t>
            </w:r>
          </w:p>
        </w:tc>
        <w:tc>
          <w:tcPr>
            <w:tcW w:w="6278" w:type="dxa"/>
            <w:vAlign w:val="center"/>
          </w:tcPr>
          <w:p w14:paraId="2EE9240F" w14:textId="77777777" w:rsidR="00A44AF8" w:rsidRPr="00CE610C" w:rsidRDefault="004105E9">
            <w:pPr>
              <w:spacing w:after="0"/>
              <w:rPr>
                <w:i/>
                <w:lang w:val="en-GB"/>
              </w:rPr>
            </w:pPr>
            <w:r w:rsidRPr="00CE610C">
              <w:rPr>
                <w:i/>
                <w:lang w:val="en-GB"/>
              </w:rPr>
              <w:t>HTTPS/TLS, IDS Message Protocol, IDS Multipart Protocol, RESTful API, GraphQL</w:t>
            </w:r>
          </w:p>
        </w:tc>
      </w:tr>
      <w:tr w:rsidR="00A44AF8" w:rsidRPr="00CE610C" w14:paraId="0358CDAF" w14:textId="77777777">
        <w:tc>
          <w:tcPr>
            <w:tcW w:w="2784" w:type="dxa"/>
            <w:vAlign w:val="center"/>
          </w:tcPr>
          <w:p w14:paraId="7C1F563E" w14:textId="77777777" w:rsidR="00A44AF8" w:rsidRPr="00CE610C" w:rsidRDefault="004105E9">
            <w:pPr>
              <w:spacing w:after="0"/>
              <w:rPr>
                <w:i/>
                <w:lang w:val="en-GB"/>
              </w:rPr>
            </w:pPr>
            <w:r w:rsidRPr="00CE610C">
              <w:rPr>
                <w:b/>
                <w:i/>
                <w:lang w:val="en-GB"/>
              </w:rPr>
              <w:t>Interoperability and Data Exchange</w:t>
            </w:r>
          </w:p>
        </w:tc>
        <w:tc>
          <w:tcPr>
            <w:tcW w:w="6278" w:type="dxa"/>
            <w:vAlign w:val="center"/>
          </w:tcPr>
          <w:p w14:paraId="593C8F78" w14:textId="77777777" w:rsidR="00A44AF8" w:rsidRPr="00CE610C" w:rsidRDefault="004105E9">
            <w:pPr>
              <w:spacing w:after="0"/>
              <w:rPr>
                <w:i/>
                <w:lang w:val="en-GB"/>
              </w:rPr>
            </w:pPr>
            <w:r w:rsidRPr="00CE610C">
              <w:rPr>
                <w:i/>
                <w:lang w:val="en-GB"/>
              </w:rPr>
              <w:t>JSON-LD, XML, CSV, Parquet, GeoJSON, NetCDF, etc., depending on the application domain</w:t>
            </w:r>
          </w:p>
        </w:tc>
      </w:tr>
    </w:tbl>
    <w:p w14:paraId="00D752F3" w14:textId="77777777" w:rsidR="00A44AF8" w:rsidRPr="00CE610C" w:rsidRDefault="004105E9">
      <w:pPr>
        <w:pStyle w:val="Nadpis3"/>
        <w:numPr>
          <w:ilvl w:val="1"/>
          <w:numId w:val="22"/>
        </w:numPr>
        <w:ind w:left="1418" w:hanging="1058"/>
        <w:rPr>
          <w:lang w:val="en-GB"/>
        </w:rPr>
      </w:pPr>
      <w:r w:rsidRPr="00CE610C">
        <w:rPr>
          <w:lang w:val="en-GB"/>
        </w:rPr>
        <w:lastRenderedPageBreak/>
        <w:t>Cybersecurity and Operational Security</w:t>
      </w:r>
    </w:p>
    <w:p w14:paraId="5F95D35F" w14:textId="77777777" w:rsidR="00A44AF8" w:rsidRPr="00CE610C" w:rsidRDefault="004105E9">
      <w:pPr>
        <w:spacing w:before="120"/>
        <w:rPr>
          <w:lang w:val="en-GB"/>
        </w:rPr>
      </w:pPr>
      <w:r w:rsidRPr="00CE610C">
        <w:rPr>
          <w:lang w:val="en-GB"/>
        </w:rPr>
        <w:t>The solution must comply with the following requirements:</w:t>
      </w:r>
    </w:p>
    <w:p w14:paraId="11DACBF7" w14:textId="77777777" w:rsidR="00A44AF8" w:rsidRPr="00CE610C" w:rsidRDefault="004105E9">
      <w:pPr>
        <w:numPr>
          <w:ilvl w:val="0"/>
          <w:numId w:val="17"/>
        </w:numPr>
        <w:spacing w:after="0"/>
        <w:rPr>
          <w:b/>
          <w:lang w:val="en-GB"/>
        </w:rPr>
      </w:pPr>
      <w:r w:rsidRPr="00CE610C">
        <w:rPr>
          <w:b/>
          <w:lang w:val="en-GB"/>
        </w:rPr>
        <w:t>NIS2 Directive (2022/2555),</w:t>
      </w:r>
    </w:p>
    <w:p w14:paraId="11CF899E" w14:textId="77777777" w:rsidR="00A44AF8" w:rsidRPr="00CE610C" w:rsidRDefault="004105E9">
      <w:pPr>
        <w:numPr>
          <w:ilvl w:val="0"/>
          <w:numId w:val="17"/>
        </w:numPr>
        <w:spacing w:after="0"/>
        <w:rPr>
          <w:lang w:val="en-GB"/>
        </w:rPr>
      </w:pPr>
      <w:r w:rsidRPr="00CE610C">
        <w:rPr>
          <w:b/>
          <w:lang w:val="en-GB"/>
        </w:rPr>
        <w:t xml:space="preserve">ENISA </w:t>
      </w:r>
      <w:r w:rsidRPr="00CE610C">
        <w:rPr>
          <w:lang w:val="en-GB"/>
        </w:rPr>
        <w:t>recommendations for data spaces,</w:t>
      </w:r>
    </w:p>
    <w:p w14:paraId="61DF1F6E" w14:textId="77777777" w:rsidR="00A44AF8" w:rsidRPr="00CE610C" w:rsidRDefault="004105E9">
      <w:pPr>
        <w:numPr>
          <w:ilvl w:val="0"/>
          <w:numId w:val="17"/>
        </w:numPr>
        <w:spacing w:after="0"/>
        <w:rPr>
          <w:lang w:val="en-GB"/>
        </w:rPr>
      </w:pPr>
      <w:r w:rsidRPr="00CE610C">
        <w:rPr>
          <w:b/>
          <w:lang w:val="en-GB"/>
        </w:rPr>
        <w:t>Zero Trust Architecture</w:t>
      </w:r>
      <w:r w:rsidRPr="00CE610C">
        <w:rPr>
          <w:lang w:val="en-GB"/>
        </w:rPr>
        <w:t xml:space="preserve"> principles.</w:t>
      </w:r>
    </w:p>
    <w:p w14:paraId="47C59F2B" w14:textId="77777777" w:rsidR="00A44AF8" w:rsidRPr="00CE610C" w:rsidRDefault="004105E9">
      <w:pPr>
        <w:spacing w:before="120"/>
        <w:rPr>
          <w:lang w:val="en-GB"/>
        </w:rPr>
      </w:pPr>
      <w:r w:rsidRPr="00CE610C">
        <w:rPr>
          <w:lang w:val="en-GB"/>
        </w:rPr>
        <w:t>The requirements include:</w:t>
      </w:r>
    </w:p>
    <w:p w14:paraId="03781728" w14:textId="77777777" w:rsidR="00A44AF8" w:rsidRPr="00CE610C" w:rsidRDefault="004105E9">
      <w:pPr>
        <w:numPr>
          <w:ilvl w:val="0"/>
          <w:numId w:val="17"/>
        </w:numPr>
        <w:spacing w:after="0"/>
        <w:rPr>
          <w:lang w:val="en-GB"/>
        </w:rPr>
      </w:pPr>
      <w:r w:rsidRPr="00CE610C">
        <w:rPr>
          <w:lang w:val="en-GB"/>
        </w:rPr>
        <w:t>End-to-end encryption of data in transit and at rest,</w:t>
      </w:r>
    </w:p>
    <w:p w14:paraId="311D078A" w14:textId="77777777" w:rsidR="00A44AF8" w:rsidRPr="00CE610C" w:rsidRDefault="004105E9">
      <w:pPr>
        <w:numPr>
          <w:ilvl w:val="0"/>
          <w:numId w:val="17"/>
        </w:numPr>
        <w:spacing w:after="0"/>
        <w:rPr>
          <w:lang w:val="en-GB"/>
        </w:rPr>
      </w:pPr>
      <w:r w:rsidRPr="00CE610C">
        <w:rPr>
          <w:lang w:val="en-GB"/>
        </w:rPr>
        <w:t>Audit logs of all accesses and operations,</w:t>
      </w:r>
    </w:p>
    <w:p w14:paraId="41B700D7" w14:textId="77777777" w:rsidR="00A44AF8" w:rsidRPr="00CE610C" w:rsidRDefault="004105E9">
      <w:pPr>
        <w:numPr>
          <w:ilvl w:val="0"/>
          <w:numId w:val="17"/>
        </w:numPr>
        <w:spacing w:after="0"/>
        <w:rPr>
          <w:lang w:val="en-GB"/>
        </w:rPr>
      </w:pPr>
      <w:r w:rsidRPr="00CE610C">
        <w:rPr>
          <w:lang w:val="en-GB"/>
        </w:rPr>
        <w:t>Possibility of integration with SIEM tools (e.g., Wazuh, ELK, Splunk),</w:t>
      </w:r>
    </w:p>
    <w:p w14:paraId="24A80B6D" w14:textId="77777777" w:rsidR="00A44AF8" w:rsidRPr="00CE610C" w:rsidRDefault="004105E9">
      <w:pPr>
        <w:numPr>
          <w:ilvl w:val="0"/>
          <w:numId w:val="17"/>
        </w:numPr>
        <w:spacing w:after="0"/>
        <w:rPr>
          <w:lang w:val="en-GB"/>
        </w:rPr>
      </w:pPr>
      <w:r w:rsidRPr="00CE610C">
        <w:rPr>
          <w:lang w:val="en-GB"/>
        </w:rPr>
        <w:t>Two-factor authentication and access control.</w:t>
      </w:r>
    </w:p>
    <w:p w14:paraId="5DCB2DD6" w14:textId="77777777" w:rsidR="00A44AF8" w:rsidRPr="00CE610C" w:rsidRDefault="004105E9" w:rsidP="00E11352">
      <w:pPr>
        <w:spacing w:before="120"/>
        <w:jc w:val="both"/>
        <w:rPr>
          <w:lang w:val="en-GB"/>
        </w:rPr>
      </w:pPr>
      <w:r w:rsidRPr="00CE610C">
        <w:rPr>
          <w:lang w:val="en-GB"/>
        </w:rPr>
        <w:t>All components must be regularly updated and monitored. The contractor must submit an incident response and data backup plan.</w:t>
      </w:r>
    </w:p>
    <w:p w14:paraId="56AA5165" w14:textId="77777777" w:rsidR="00A44AF8" w:rsidRPr="00CE610C" w:rsidRDefault="004105E9">
      <w:pPr>
        <w:pStyle w:val="Nadpis3"/>
        <w:numPr>
          <w:ilvl w:val="1"/>
          <w:numId w:val="22"/>
        </w:numPr>
        <w:ind w:left="1418" w:hanging="1058"/>
        <w:rPr>
          <w:lang w:val="en-GB"/>
        </w:rPr>
      </w:pPr>
      <w:r w:rsidRPr="00CE610C">
        <w:rPr>
          <w:lang w:val="en-GB"/>
        </w:rPr>
        <w:t>Operational Requirements and Scalability</w:t>
      </w:r>
    </w:p>
    <w:p w14:paraId="5F0163AF" w14:textId="77777777" w:rsidR="00A44AF8" w:rsidRPr="00CE610C" w:rsidRDefault="004105E9" w:rsidP="00E11352">
      <w:pPr>
        <w:spacing w:before="120"/>
        <w:jc w:val="both"/>
        <w:rPr>
          <w:lang w:val="en-GB"/>
        </w:rPr>
      </w:pPr>
      <w:r w:rsidRPr="00CE610C">
        <w:rPr>
          <w:lang w:val="en-GB"/>
        </w:rPr>
        <w:t>The delivered solution must support a minimum of 10 participants and handle data flows of up to several hundred GB/month (scalable as needed).</w:t>
      </w:r>
    </w:p>
    <w:p w14:paraId="535A222A" w14:textId="77777777" w:rsidR="00A44AF8" w:rsidRPr="00CE610C" w:rsidRDefault="004105E9" w:rsidP="00E11352">
      <w:pPr>
        <w:spacing w:before="120"/>
        <w:jc w:val="both"/>
        <w:rPr>
          <w:lang w:val="en-GB"/>
        </w:rPr>
      </w:pPr>
      <w:r w:rsidRPr="00CE610C">
        <w:rPr>
          <w:lang w:val="en-GB"/>
        </w:rPr>
        <w:t>Components must be monitorable via an administrative interface (e.g., Prometheus + Grafana, Zabbix, Kibana).</w:t>
      </w:r>
    </w:p>
    <w:p w14:paraId="43DD8D2F" w14:textId="77777777" w:rsidR="00A44AF8" w:rsidRPr="00CE610C" w:rsidRDefault="004105E9" w:rsidP="00E11352">
      <w:pPr>
        <w:spacing w:before="120"/>
        <w:jc w:val="both"/>
        <w:rPr>
          <w:lang w:val="en-GB"/>
        </w:rPr>
      </w:pPr>
      <w:r w:rsidRPr="00CE610C">
        <w:rPr>
          <w:lang w:val="en-GB"/>
        </w:rPr>
        <w:t>The solution must support operational SLAs with at least 99.5% availability under standard load.</w:t>
      </w:r>
    </w:p>
    <w:p w14:paraId="257E1B71" w14:textId="77777777" w:rsidR="00A44AF8" w:rsidRPr="00CE610C" w:rsidRDefault="004105E9">
      <w:pPr>
        <w:pStyle w:val="Nadpis3"/>
        <w:numPr>
          <w:ilvl w:val="1"/>
          <w:numId w:val="22"/>
        </w:numPr>
        <w:ind w:left="1418" w:hanging="1058"/>
        <w:rPr>
          <w:lang w:val="en-GB"/>
        </w:rPr>
      </w:pPr>
      <w:r w:rsidRPr="00CE610C">
        <w:rPr>
          <w:lang w:val="en-GB"/>
        </w:rPr>
        <w:t>Documentation and Interfaces</w:t>
      </w:r>
    </w:p>
    <w:p w14:paraId="71EF8FF2" w14:textId="77777777" w:rsidR="00A44AF8" w:rsidRPr="00CE610C" w:rsidRDefault="004105E9">
      <w:pPr>
        <w:spacing w:before="120"/>
        <w:rPr>
          <w:lang w:val="en-GB"/>
        </w:rPr>
      </w:pPr>
      <w:r w:rsidRPr="00CE610C">
        <w:rPr>
          <w:lang w:val="en-GB"/>
        </w:rPr>
        <w:t>The contractor must provide:</w:t>
      </w:r>
    </w:p>
    <w:p w14:paraId="0E722536" w14:textId="77777777" w:rsidR="00A44AF8" w:rsidRPr="00CE610C" w:rsidRDefault="004105E9">
      <w:pPr>
        <w:numPr>
          <w:ilvl w:val="0"/>
          <w:numId w:val="17"/>
        </w:numPr>
        <w:spacing w:after="0"/>
        <w:rPr>
          <w:lang w:val="en-GB"/>
        </w:rPr>
      </w:pPr>
      <w:r w:rsidRPr="00CE610C">
        <w:rPr>
          <w:lang w:val="en-GB"/>
        </w:rPr>
        <w:t>Documentation for all components (user, technical, and API),</w:t>
      </w:r>
    </w:p>
    <w:p w14:paraId="4C0A4A7B" w14:textId="77777777" w:rsidR="00A44AF8" w:rsidRPr="00CE610C" w:rsidRDefault="004105E9">
      <w:pPr>
        <w:numPr>
          <w:ilvl w:val="0"/>
          <w:numId w:val="17"/>
        </w:numPr>
        <w:spacing w:after="0"/>
        <w:rPr>
          <w:lang w:val="en-GB"/>
        </w:rPr>
      </w:pPr>
      <w:r w:rsidRPr="00CE610C">
        <w:rPr>
          <w:lang w:val="en-GB"/>
        </w:rPr>
        <w:t>OpenAPI / Swagger specification for all public API interfaces,</w:t>
      </w:r>
    </w:p>
    <w:p w14:paraId="41D81D8F" w14:textId="77777777" w:rsidR="00A44AF8" w:rsidRPr="00CE610C" w:rsidRDefault="004105E9">
      <w:pPr>
        <w:numPr>
          <w:ilvl w:val="0"/>
          <w:numId w:val="17"/>
        </w:numPr>
        <w:spacing w:after="0"/>
        <w:rPr>
          <w:lang w:val="en-GB"/>
        </w:rPr>
      </w:pPr>
      <w:r w:rsidRPr="00CE610C">
        <w:rPr>
          <w:lang w:val="en-GB"/>
        </w:rPr>
        <w:t>Sample data and testing scenarios.</w:t>
      </w:r>
    </w:p>
    <w:p w14:paraId="1AF2DEBA" w14:textId="77777777" w:rsidR="00A44AF8" w:rsidRPr="00CE610C" w:rsidRDefault="004105E9">
      <w:pPr>
        <w:spacing w:before="120"/>
        <w:rPr>
          <w:lang w:val="en-GB"/>
        </w:rPr>
      </w:pPr>
      <w:r w:rsidRPr="00CE610C">
        <w:rPr>
          <w:lang w:val="en-GB"/>
        </w:rPr>
        <w:t>All components must be operable either as open-source variants or be based on technologies available within Europe. Preference will be given to solutions based on:</w:t>
      </w:r>
    </w:p>
    <w:p w14:paraId="72574EFF" w14:textId="77777777" w:rsidR="00A44AF8" w:rsidRPr="00CE610C" w:rsidRDefault="004105E9">
      <w:pPr>
        <w:numPr>
          <w:ilvl w:val="0"/>
          <w:numId w:val="17"/>
        </w:numPr>
        <w:spacing w:after="0"/>
        <w:rPr>
          <w:lang w:val="en-GB"/>
        </w:rPr>
      </w:pPr>
      <w:r w:rsidRPr="00CE610C">
        <w:rPr>
          <w:lang w:val="en-GB"/>
        </w:rPr>
        <w:t>Eclipse Dataspace Components (EDC),</w:t>
      </w:r>
    </w:p>
    <w:p w14:paraId="1A7E8D24" w14:textId="77777777" w:rsidR="00A44AF8" w:rsidRPr="00CE610C" w:rsidRDefault="004105E9">
      <w:pPr>
        <w:numPr>
          <w:ilvl w:val="0"/>
          <w:numId w:val="17"/>
        </w:numPr>
        <w:spacing w:after="0"/>
        <w:rPr>
          <w:i/>
          <w:lang w:val="en-GB"/>
        </w:rPr>
      </w:pPr>
      <w:r w:rsidRPr="00CE610C">
        <w:rPr>
          <w:i/>
          <w:lang w:val="en-GB"/>
        </w:rPr>
        <w:t>IDSA members.</w:t>
      </w:r>
      <w:r w:rsidRPr="00CE610C">
        <w:rPr>
          <w:lang w:val="en-GB"/>
        </w:rPr>
        <w:br w:type="page"/>
      </w:r>
    </w:p>
    <w:p w14:paraId="03F96557" w14:textId="77777777" w:rsidR="00A44AF8" w:rsidRPr="00CE610C" w:rsidRDefault="004105E9">
      <w:pPr>
        <w:pStyle w:val="Nadpis2"/>
        <w:numPr>
          <w:ilvl w:val="0"/>
          <w:numId w:val="13"/>
        </w:numPr>
        <w:rPr>
          <w:lang w:val="en-GB"/>
        </w:rPr>
      </w:pPr>
      <w:r w:rsidRPr="00CE610C">
        <w:rPr>
          <w:lang w:val="en-GB"/>
        </w:rPr>
        <w:lastRenderedPageBreak/>
        <w:t>Interoperability Requirements</w:t>
      </w:r>
    </w:p>
    <w:p w14:paraId="11B1641E" w14:textId="77777777" w:rsidR="00A44AF8" w:rsidRPr="00CE610C" w:rsidRDefault="004105E9" w:rsidP="00E11352">
      <w:pPr>
        <w:jc w:val="both"/>
        <w:rPr>
          <w:lang w:val="en-GB"/>
        </w:rPr>
      </w:pPr>
      <w:r w:rsidRPr="00CE610C">
        <w:rPr>
          <w:lang w:val="en-GB"/>
        </w:rPr>
        <w:t xml:space="preserve">The goal of the solution is to ensure full interoperability of the delivered data space with other national and European data spaces and ecosystems. Interoperability is a key condition for scalability, federation, and integration of diverse data sources and consumers </w:t>
      </w:r>
      <w:r w:rsidRPr="00CE610C">
        <w:rPr>
          <w:b/>
          <w:lang w:val="en-GB"/>
        </w:rPr>
        <w:t>in accordance with the principles of the European Common Data Spaces</w:t>
      </w:r>
      <w:r w:rsidRPr="00CE610C">
        <w:rPr>
          <w:lang w:val="en-GB"/>
        </w:rPr>
        <w:t>.</w:t>
      </w:r>
    </w:p>
    <w:p w14:paraId="5D5A9E80" w14:textId="77777777" w:rsidR="00A44AF8" w:rsidRPr="00CE610C" w:rsidRDefault="004105E9">
      <w:pPr>
        <w:pStyle w:val="Nadpis3"/>
        <w:numPr>
          <w:ilvl w:val="1"/>
          <w:numId w:val="23"/>
        </w:numPr>
        <w:ind w:left="1418" w:hanging="1134"/>
        <w:rPr>
          <w:lang w:val="en-GB"/>
        </w:rPr>
      </w:pPr>
      <w:r w:rsidRPr="00CE610C">
        <w:rPr>
          <w:lang w:val="en-GB"/>
        </w:rPr>
        <w:t>Technical Interoperability</w:t>
      </w:r>
    </w:p>
    <w:p w14:paraId="787F78E7" w14:textId="77777777" w:rsidR="00A44AF8" w:rsidRPr="00CE610C" w:rsidRDefault="004105E9">
      <w:pPr>
        <w:rPr>
          <w:lang w:val="en-GB"/>
        </w:rPr>
      </w:pPr>
      <w:r w:rsidRPr="00CE610C">
        <w:rPr>
          <w:lang w:val="en-GB"/>
        </w:rPr>
        <w:t>Is required:</w:t>
      </w:r>
    </w:p>
    <w:p w14:paraId="4D4E1F0B" w14:textId="77777777" w:rsidR="00A44AF8" w:rsidRPr="00CE610C" w:rsidRDefault="004105E9">
      <w:pPr>
        <w:numPr>
          <w:ilvl w:val="0"/>
          <w:numId w:val="18"/>
        </w:numPr>
        <w:spacing w:before="120"/>
        <w:ind w:left="714" w:hanging="357"/>
        <w:rPr>
          <w:lang w:val="en-GB"/>
        </w:rPr>
      </w:pPr>
      <w:r w:rsidRPr="00CE610C">
        <w:rPr>
          <w:b/>
          <w:lang w:val="en-GB"/>
        </w:rPr>
        <w:t xml:space="preserve">Use of open and standardized APIs: </w:t>
      </w:r>
      <w:r w:rsidRPr="00CE610C">
        <w:rPr>
          <w:lang w:val="en-GB"/>
        </w:rPr>
        <w:t>All components of the data space must communicate using open interfaces (e.g., REST, GraphQL, IDS Multipart Protocol).</w:t>
      </w:r>
    </w:p>
    <w:p w14:paraId="4909BCD7" w14:textId="77777777" w:rsidR="00A44AF8" w:rsidRPr="00CE610C" w:rsidRDefault="004105E9">
      <w:pPr>
        <w:numPr>
          <w:ilvl w:val="0"/>
          <w:numId w:val="18"/>
        </w:numPr>
        <w:spacing w:before="120"/>
        <w:ind w:left="714" w:hanging="357"/>
        <w:rPr>
          <w:lang w:val="en-GB"/>
        </w:rPr>
      </w:pPr>
      <w:r w:rsidRPr="00CE610C">
        <w:rPr>
          <w:b/>
          <w:lang w:val="en-GB"/>
        </w:rPr>
        <w:t xml:space="preserve">Support for EDC/IDS connectors: </w:t>
      </w:r>
      <w:r w:rsidRPr="00CE610C">
        <w:rPr>
          <w:lang w:val="en-GB"/>
        </w:rPr>
        <w:t xml:space="preserve">The solution must be capable of interoperating with components based on Eclipse Dataspace Components (EDC), even when implemented by different vendors </w:t>
      </w:r>
      <w:r w:rsidRPr="00CE610C">
        <w:rPr>
          <w:i/>
          <w:lang w:val="en-GB"/>
        </w:rPr>
        <w:t>(IDSA members).</w:t>
      </w:r>
    </w:p>
    <w:p w14:paraId="159E67C3" w14:textId="77777777" w:rsidR="00A44AF8" w:rsidRPr="00CE610C" w:rsidRDefault="004105E9">
      <w:pPr>
        <w:pStyle w:val="Nadpis3"/>
        <w:numPr>
          <w:ilvl w:val="1"/>
          <w:numId w:val="23"/>
        </w:numPr>
        <w:ind w:left="1418" w:hanging="1134"/>
        <w:rPr>
          <w:lang w:val="en-GB"/>
        </w:rPr>
      </w:pPr>
      <w:r w:rsidRPr="00CE610C">
        <w:rPr>
          <w:lang w:val="en-GB"/>
        </w:rPr>
        <w:t>Semantic Interoperability</w:t>
      </w:r>
    </w:p>
    <w:p w14:paraId="78FF6DA4" w14:textId="77777777" w:rsidR="00A44AF8" w:rsidRPr="00CE610C" w:rsidRDefault="004105E9">
      <w:pPr>
        <w:numPr>
          <w:ilvl w:val="0"/>
          <w:numId w:val="19"/>
        </w:numPr>
        <w:spacing w:before="120"/>
        <w:ind w:left="714" w:hanging="357"/>
        <w:rPr>
          <w:b/>
          <w:lang w:val="en-GB"/>
        </w:rPr>
      </w:pPr>
      <w:r w:rsidRPr="00CE610C">
        <w:rPr>
          <w:b/>
          <w:lang w:val="en-GB"/>
        </w:rPr>
        <w:t>Support for standardized data models:</w:t>
      </w:r>
    </w:p>
    <w:p w14:paraId="7A1E298E" w14:textId="77777777" w:rsidR="00A44AF8" w:rsidRPr="00CE610C" w:rsidRDefault="004105E9">
      <w:pPr>
        <w:numPr>
          <w:ilvl w:val="1"/>
          <w:numId w:val="19"/>
        </w:numPr>
        <w:spacing w:after="0"/>
        <w:ind w:left="1434" w:hanging="357"/>
        <w:rPr>
          <w:lang w:val="en-GB"/>
        </w:rPr>
      </w:pPr>
      <w:r w:rsidRPr="00CE610C">
        <w:rPr>
          <w:lang w:val="en-GB"/>
        </w:rPr>
        <w:t>DCAT-AP (for metadata publication in public administration),</w:t>
      </w:r>
    </w:p>
    <w:p w14:paraId="722D2BE3" w14:textId="77777777" w:rsidR="00A44AF8" w:rsidRPr="00CE610C" w:rsidRDefault="004105E9">
      <w:pPr>
        <w:numPr>
          <w:ilvl w:val="1"/>
          <w:numId w:val="19"/>
        </w:numPr>
        <w:spacing w:after="0"/>
        <w:ind w:left="1434" w:hanging="357"/>
        <w:rPr>
          <w:lang w:val="en-GB"/>
        </w:rPr>
      </w:pPr>
      <w:r w:rsidRPr="00CE610C">
        <w:rPr>
          <w:lang w:val="en-GB"/>
        </w:rPr>
        <w:t>NGSI-LD (for real-time data entities, e.g., in Smart Cities),</w:t>
      </w:r>
    </w:p>
    <w:p w14:paraId="49F994AE" w14:textId="77777777" w:rsidR="00A44AF8" w:rsidRPr="00CE610C" w:rsidRDefault="004105E9">
      <w:pPr>
        <w:numPr>
          <w:ilvl w:val="1"/>
          <w:numId w:val="19"/>
        </w:numPr>
        <w:spacing w:after="0"/>
        <w:ind w:left="1434" w:hanging="357"/>
        <w:rPr>
          <w:lang w:val="en-GB"/>
        </w:rPr>
      </w:pPr>
      <w:r w:rsidRPr="00CE610C">
        <w:rPr>
          <w:lang w:val="en-GB"/>
        </w:rPr>
        <w:t>INSPIRE / GeoJSON (for geospatial data),</w:t>
      </w:r>
    </w:p>
    <w:p w14:paraId="06C9C2BD" w14:textId="77777777" w:rsidR="00A44AF8" w:rsidRPr="00CE610C" w:rsidRDefault="004105E9">
      <w:pPr>
        <w:numPr>
          <w:ilvl w:val="1"/>
          <w:numId w:val="19"/>
        </w:numPr>
        <w:spacing w:after="0"/>
        <w:ind w:left="1434" w:hanging="357"/>
        <w:rPr>
          <w:lang w:val="en-GB"/>
        </w:rPr>
      </w:pPr>
      <w:r w:rsidRPr="00CE610C">
        <w:rPr>
          <w:lang w:val="en-GB"/>
        </w:rPr>
        <w:t>Other domain-specific ontologies and schemas (e.g., SAREF for energy, HL7/FHIR for healthcare).</w:t>
      </w:r>
    </w:p>
    <w:p w14:paraId="054072E1" w14:textId="77777777" w:rsidR="00A44AF8" w:rsidRPr="00CE610C" w:rsidRDefault="004105E9">
      <w:pPr>
        <w:numPr>
          <w:ilvl w:val="0"/>
          <w:numId w:val="19"/>
        </w:numPr>
        <w:spacing w:before="120"/>
        <w:ind w:left="714" w:hanging="357"/>
        <w:rPr>
          <w:b/>
          <w:lang w:val="en-GB"/>
        </w:rPr>
      </w:pPr>
      <w:r w:rsidRPr="00CE610C">
        <w:rPr>
          <w:b/>
          <w:lang w:val="en-GB"/>
        </w:rPr>
        <w:t>Data validation and transformation:</w:t>
      </w:r>
    </w:p>
    <w:p w14:paraId="1483C748" w14:textId="77777777" w:rsidR="00A44AF8" w:rsidRPr="00CE610C" w:rsidRDefault="004105E9">
      <w:pPr>
        <w:numPr>
          <w:ilvl w:val="1"/>
          <w:numId w:val="19"/>
        </w:numPr>
        <w:spacing w:after="0"/>
        <w:ind w:left="1434" w:hanging="357"/>
        <w:rPr>
          <w:lang w:val="en-GB"/>
        </w:rPr>
      </w:pPr>
      <w:r w:rsidRPr="00CE610C">
        <w:rPr>
          <w:lang w:val="en-GB"/>
        </w:rPr>
        <w:t>The system must support transformation between different data schemas and formats (e.g., XML ↔ JSON-LD, RDF ↔ CSV) and allow for data annotation using ontologies (e.g., OWL, SHACL).</w:t>
      </w:r>
    </w:p>
    <w:p w14:paraId="1E80C8B6" w14:textId="77777777" w:rsidR="00A44AF8" w:rsidRPr="00CE610C" w:rsidRDefault="004105E9">
      <w:pPr>
        <w:pStyle w:val="Nadpis3"/>
        <w:numPr>
          <w:ilvl w:val="1"/>
          <w:numId w:val="23"/>
        </w:numPr>
        <w:ind w:left="1418" w:hanging="1134"/>
        <w:rPr>
          <w:lang w:val="en-GB"/>
        </w:rPr>
      </w:pPr>
      <w:r w:rsidRPr="00CE610C">
        <w:rPr>
          <w:lang w:val="en-GB"/>
        </w:rPr>
        <w:t>Organizational Interoperability</w:t>
      </w:r>
    </w:p>
    <w:p w14:paraId="4DA0A065" w14:textId="77777777" w:rsidR="00A44AF8" w:rsidRPr="00CE610C" w:rsidRDefault="004105E9">
      <w:pPr>
        <w:numPr>
          <w:ilvl w:val="0"/>
          <w:numId w:val="19"/>
        </w:numPr>
        <w:spacing w:before="120"/>
        <w:ind w:left="714" w:hanging="357"/>
        <w:rPr>
          <w:b/>
          <w:lang w:val="en-GB"/>
        </w:rPr>
      </w:pPr>
      <w:r w:rsidRPr="00CE610C">
        <w:rPr>
          <w:b/>
          <w:lang w:val="en-GB"/>
        </w:rPr>
        <w:t>Sharing of policies and conditions:</w:t>
      </w:r>
    </w:p>
    <w:p w14:paraId="263617F6" w14:textId="77777777" w:rsidR="00A44AF8" w:rsidRPr="00CE610C" w:rsidRDefault="004105E9">
      <w:pPr>
        <w:numPr>
          <w:ilvl w:val="1"/>
          <w:numId w:val="19"/>
        </w:numPr>
        <w:spacing w:after="0"/>
        <w:ind w:left="1434" w:hanging="357"/>
        <w:rPr>
          <w:lang w:val="en-GB"/>
        </w:rPr>
      </w:pPr>
      <w:r w:rsidRPr="00CE610C">
        <w:rPr>
          <w:lang w:val="en-GB"/>
        </w:rPr>
        <w:t>The delivered solution must allow expression and sharing of contractual terms and policies (data usage policies) in a machine-readable format (e.g., ODRL, LUCON).</w:t>
      </w:r>
    </w:p>
    <w:p w14:paraId="044206F9" w14:textId="77777777" w:rsidR="00A44AF8" w:rsidRPr="00CE610C" w:rsidRDefault="004105E9">
      <w:pPr>
        <w:numPr>
          <w:ilvl w:val="0"/>
          <w:numId w:val="19"/>
        </w:numPr>
        <w:spacing w:before="120"/>
        <w:ind w:left="714" w:hanging="357"/>
        <w:rPr>
          <w:b/>
          <w:lang w:val="en-GB"/>
        </w:rPr>
      </w:pPr>
      <w:r w:rsidRPr="00CE610C">
        <w:rPr>
          <w:b/>
          <w:lang w:val="en-GB"/>
        </w:rPr>
        <w:t>Exchange of identity and trust mechanisms:</w:t>
      </w:r>
    </w:p>
    <w:p w14:paraId="74122052" w14:textId="77777777" w:rsidR="00A44AF8" w:rsidRPr="00CE610C" w:rsidRDefault="004105E9">
      <w:pPr>
        <w:numPr>
          <w:ilvl w:val="1"/>
          <w:numId w:val="19"/>
        </w:numPr>
        <w:spacing w:after="0"/>
        <w:ind w:left="1434" w:hanging="357"/>
        <w:rPr>
          <w:lang w:val="en-GB"/>
        </w:rPr>
      </w:pPr>
      <w:r w:rsidRPr="00CE610C">
        <w:rPr>
          <w:lang w:val="en-GB"/>
        </w:rPr>
        <w:t>Identity and certification mechanisms must be recognized and compatible with a common European data space trust framework (e.g. GAIA-X, iSHARE, ...)..</w:t>
      </w:r>
    </w:p>
    <w:p w14:paraId="57511E51" w14:textId="2FD0FD85" w:rsidR="00E11352" w:rsidRPr="00CE610C" w:rsidRDefault="004105E9" w:rsidP="008D3146">
      <w:pPr>
        <w:numPr>
          <w:ilvl w:val="1"/>
          <w:numId w:val="19"/>
        </w:numPr>
        <w:spacing w:after="0"/>
        <w:ind w:left="1434" w:hanging="357"/>
        <w:rPr>
          <w:lang w:val="en-GB"/>
        </w:rPr>
      </w:pPr>
      <w:r w:rsidRPr="00CE610C">
        <w:rPr>
          <w:lang w:val="en-GB"/>
        </w:rPr>
        <w:t>Participants must be able to use attributes and certificates issued by other trusted authorities.</w:t>
      </w:r>
      <w:r w:rsidR="00E11352" w:rsidRPr="00CE610C">
        <w:rPr>
          <w:lang w:val="en-GB"/>
        </w:rPr>
        <w:br w:type="page"/>
      </w:r>
    </w:p>
    <w:p w14:paraId="18A9004C" w14:textId="77777777" w:rsidR="00A44AF8" w:rsidRPr="00CE610C" w:rsidRDefault="004105E9">
      <w:pPr>
        <w:pStyle w:val="Nadpis3"/>
        <w:numPr>
          <w:ilvl w:val="1"/>
          <w:numId w:val="23"/>
        </w:numPr>
        <w:ind w:left="1418" w:hanging="1134"/>
        <w:rPr>
          <w:lang w:val="en-GB"/>
        </w:rPr>
      </w:pPr>
      <w:r w:rsidRPr="00CE610C">
        <w:rPr>
          <w:lang w:val="en-GB"/>
        </w:rPr>
        <w:lastRenderedPageBreak/>
        <w:t xml:space="preserve">Data Portability and Openness </w:t>
      </w:r>
    </w:p>
    <w:p w14:paraId="267D2D91" w14:textId="77777777" w:rsidR="00A44AF8" w:rsidRPr="00CE610C" w:rsidRDefault="004105E9">
      <w:pPr>
        <w:spacing w:before="120"/>
        <w:rPr>
          <w:b/>
          <w:lang w:val="en-GB"/>
        </w:rPr>
      </w:pPr>
      <w:r w:rsidRPr="00CE610C">
        <w:rPr>
          <w:b/>
          <w:lang w:val="en-GB"/>
        </w:rPr>
        <w:t>Export and reuse of data:</w:t>
      </w:r>
    </w:p>
    <w:p w14:paraId="2B49D1DE" w14:textId="77777777" w:rsidR="00A44AF8" w:rsidRPr="00CE610C" w:rsidRDefault="004105E9">
      <w:pPr>
        <w:numPr>
          <w:ilvl w:val="0"/>
          <w:numId w:val="19"/>
        </w:numPr>
        <w:spacing w:after="0"/>
        <w:rPr>
          <w:lang w:val="en-GB"/>
        </w:rPr>
      </w:pPr>
      <w:r w:rsidRPr="00CE610C">
        <w:rPr>
          <w:lang w:val="en-GB"/>
        </w:rPr>
        <w:t>All published data must be accessible via standard export formats (e.g., CSV, JSON, XML, RDF).</w:t>
      </w:r>
    </w:p>
    <w:p w14:paraId="4A050259" w14:textId="77777777" w:rsidR="00A44AF8" w:rsidRPr="00CE610C" w:rsidRDefault="004105E9">
      <w:pPr>
        <w:numPr>
          <w:ilvl w:val="0"/>
          <w:numId w:val="19"/>
        </w:numPr>
        <w:spacing w:after="0"/>
        <w:rPr>
          <w:lang w:val="en-GB"/>
        </w:rPr>
      </w:pPr>
      <w:r w:rsidRPr="00CE610C">
        <w:rPr>
          <w:lang w:val="en-GB"/>
        </w:rPr>
        <w:t>Users must be able to access the data catalog using standardized query interfaces (e.g., SPARQL endpoint).</w:t>
      </w:r>
    </w:p>
    <w:p w14:paraId="3D37DBDC" w14:textId="77777777" w:rsidR="00A44AF8" w:rsidRPr="00CE610C" w:rsidRDefault="004105E9">
      <w:pPr>
        <w:spacing w:before="120"/>
        <w:rPr>
          <w:b/>
          <w:lang w:val="en-GB"/>
        </w:rPr>
      </w:pPr>
      <w:r w:rsidRPr="00CE610C">
        <w:rPr>
          <w:b/>
          <w:lang w:val="en-GB"/>
        </w:rPr>
        <w:t>Support for FAIR principles (Findable, Accessible, Interoperable, Reusable):</w:t>
      </w:r>
    </w:p>
    <w:p w14:paraId="22FA645C" w14:textId="77777777" w:rsidR="00A44AF8" w:rsidRPr="00CE610C" w:rsidRDefault="004105E9">
      <w:pPr>
        <w:numPr>
          <w:ilvl w:val="0"/>
          <w:numId w:val="19"/>
        </w:numPr>
        <w:spacing w:after="0"/>
        <w:rPr>
          <w:lang w:val="en-GB"/>
        </w:rPr>
      </w:pPr>
      <w:r w:rsidRPr="00CE610C">
        <w:rPr>
          <w:lang w:val="en-GB"/>
        </w:rPr>
        <w:t>Metadata and data must be designed in line with FAIR principles to facilitate sharing and reuse in other contexts.</w:t>
      </w:r>
    </w:p>
    <w:p w14:paraId="7AE8E44D" w14:textId="77777777" w:rsidR="00A44AF8" w:rsidRPr="00CE610C" w:rsidRDefault="004105E9">
      <w:pPr>
        <w:pStyle w:val="Nadpis3"/>
        <w:numPr>
          <w:ilvl w:val="1"/>
          <w:numId w:val="23"/>
        </w:numPr>
        <w:ind w:left="1418" w:hanging="1134"/>
        <w:rPr>
          <w:lang w:val="en-GB"/>
        </w:rPr>
      </w:pPr>
      <w:r w:rsidRPr="00CE610C">
        <w:rPr>
          <w:lang w:val="en-GB"/>
        </w:rPr>
        <w:t>Compatibility with European Data Spaces</w:t>
      </w:r>
    </w:p>
    <w:p w14:paraId="538B57BB" w14:textId="77777777" w:rsidR="00A44AF8" w:rsidRPr="00CE610C" w:rsidRDefault="004105E9" w:rsidP="00E11352">
      <w:pPr>
        <w:spacing w:before="120"/>
        <w:jc w:val="both"/>
        <w:rPr>
          <w:lang w:val="en-GB"/>
        </w:rPr>
      </w:pPr>
      <w:r w:rsidRPr="00CE610C">
        <w:rPr>
          <w:lang w:val="en-GB"/>
        </w:rPr>
        <w:t>The delivered solution should be technically and functionally prepared for integration or connection with:</w:t>
      </w:r>
    </w:p>
    <w:p w14:paraId="23B18138" w14:textId="77777777" w:rsidR="00A44AF8" w:rsidRPr="00CE610C" w:rsidRDefault="004105E9">
      <w:pPr>
        <w:numPr>
          <w:ilvl w:val="0"/>
          <w:numId w:val="8"/>
        </w:numPr>
        <w:shd w:val="clear" w:color="auto" w:fill="FFFFFF"/>
        <w:spacing w:after="0"/>
        <w:rPr>
          <w:lang w:val="en-GB"/>
        </w:rPr>
      </w:pPr>
      <w:r w:rsidRPr="00CE610C">
        <w:rPr>
          <w:lang w:val="en-GB"/>
        </w:rPr>
        <w:t>European data spaces (e.g., Mobility Data Space, Tourism Data Space, Green Deal Data Space), ). Intra Data Space communication is still under development. communication with other data spaces should be evaluated use case specific.</w:t>
      </w:r>
    </w:p>
    <w:p w14:paraId="6BB7047A" w14:textId="77777777" w:rsidR="00A44AF8" w:rsidRPr="00CE610C" w:rsidRDefault="004105E9">
      <w:pPr>
        <w:numPr>
          <w:ilvl w:val="0"/>
          <w:numId w:val="8"/>
        </w:numPr>
        <w:shd w:val="clear" w:color="auto" w:fill="FFFFFF"/>
        <w:spacing w:after="0"/>
        <w:rPr>
          <w:lang w:val="en-GB"/>
        </w:rPr>
      </w:pPr>
      <w:r w:rsidRPr="00CE610C">
        <w:rPr>
          <w:lang w:val="en-GB"/>
        </w:rPr>
        <w:t>Sandboxes and federations operated within the framework of the Data Spaces Support Centre or GAIA-X Hubs.</w:t>
      </w:r>
    </w:p>
    <w:p w14:paraId="1D0A334C" w14:textId="77777777" w:rsidR="00A44AF8" w:rsidRPr="00CE610C" w:rsidRDefault="004105E9">
      <w:pPr>
        <w:pStyle w:val="Nadpis2"/>
        <w:numPr>
          <w:ilvl w:val="0"/>
          <w:numId w:val="23"/>
        </w:numPr>
        <w:spacing w:before="240" w:after="240"/>
        <w:rPr>
          <w:lang w:val="en-GB"/>
        </w:rPr>
      </w:pPr>
      <w:bookmarkStart w:id="16" w:name="_heading=h.595hyh31ucl4" w:colFirst="0" w:colLast="0"/>
      <w:bookmarkEnd w:id="16"/>
      <w:r w:rsidRPr="00CE610C">
        <w:rPr>
          <w:lang w:val="en-GB"/>
        </w:rPr>
        <w:t>Project phases</w:t>
      </w:r>
    </w:p>
    <w:p w14:paraId="2B5EB431" w14:textId="77777777" w:rsidR="00A44AF8" w:rsidRPr="00CE610C" w:rsidRDefault="004105E9">
      <w:pPr>
        <w:spacing w:before="240" w:after="240"/>
        <w:rPr>
          <w:lang w:val="en-GB"/>
        </w:rPr>
      </w:pPr>
      <w:r w:rsidRPr="00CE610C">
        <w:rPr>
          <w:lang w:val="en-GB"/>
        </w:rPr>
        <w:t xml:space="preserve">The contracting authority expects that the implementation of the data space will take place in structured stages to ensure a functional, safe and sustainable implementation of the system. </w:t>
      </w:r>
    </w:p>
    <w:p w14:paraId="6B337D83" w14:textId="2482D50C" w:rsidR="00E11352" w:rsidRPr="00CE610C" w:rsidRDefault="004105E9">
      <w:pPr>
        <w:spacing w:before="240" w:after="240"/>
        <w:rPr>
          <w:lang w:val="en-GB"/>
        </w:rPr>
      </w:pPr>
      <w:r w:rsidRPr="00CE610C">
        <w:rPr>
          <w:lang w:val="en-GB"/>
        </w:rPr>
        <w:t>The implementation of the project will be carried out in phases that follow the logical structure of the scope of work as described in Chapter 2 of this document. The different phases represent key milestones in the process of design, implementation, commissioning and handover of the data room to the contracting authority. The estimated duration of each phase serves as an indicative framework for planning and organising the work.</w:t>
      </w:r>
    </w:p>
    <w:p w14:paraId="4A340553" w14:textId="77777777" w:rsidR="00E11352" w:rsidRPr="00CE610C" w:rsidRDefault="00E11352">
      <w:pPr>
        <w:rPr>
          <w:lang w:val="en-GB"/>
        </w:rPr>
      </w:pPr>
      <w:r w:rsidRPr="00CE610C">
        <w:rPr>
          <w:lang w:val="en-GB"/>
        </w:rPr>
        <w:br w:type="page"/>
      </w:r>
    </w:p>
    <w:tbl>
      <w:tblPr>
        <w:tblStyle w:val="a2"/>
        <w:tblW w:w="90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5160"/>
        <w:gridCol w:w="1650"/>
      </w:tblGrid>
      <w:tr w:rsidR="00A44AF8" w:rsidRPr="00CE610C" w14:paraId="76D790C5" w14:textId="77777777" w:rsidTr="00E11352">
        <w:trPr>
          <w:trHeight w:val="7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2EFE5" w14:textId="77777777" w:rsidR="00A44AF8" w:rsidRPr="00CE610C" w:rsidRDefault="004105E9" w:rsidP="00E11352">
            <w:pPr>
              <w:spacing w:before="120" w:after="120"/>
              <w:jc w:val="center"/>
              <w:rPr>
                <w:lang w:val="en-GB"/>
              </w:rPr>
            </w:pPr>
            <w:r w:rsidRPr="00CE610C">
              <w:rPr>
                <w:b/>
                <w:lang w:val="en-GB"/>
              </w:rPr>
              <w:lastRenderedPageBreak/>
              <w:t>Project Phase</w:t>
            </w:r>
          </w:p>
        </w:tc>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99EDD9" w14:textId="77777777" w:rsidR="00A44AF8" w:rsidRPr="00CE610C" w:rsidRDefault="004105E9" w:rsidP="00E11352">
            <w:pPr>
              <w:spacing w:before="120" w:after="120"/>
              <w:jc w:val="center"/>
              <w:rPr>
                <w:lang w:val="en-GB"/>
              </w:rPr>
            </w:pPr>
            <w:r w:rsidRPr="00CE610C">
              <w:rPr>
                <w:b/>
                <w:lang w:val="en-GB"/>
              </w:rPr>
              <w:t>Activity Description</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66684" w14:textId="77777777" w:rsidR="00A44AF8" w:rsidRPr="00CE610C" w:rsidRDefault="004105E9" w:rsidP="00E11352">
            <w:pPr>
              <w:spacing w:before="120" w:after="120"/>
              <w:jc w:val="center"/>
              <w:rPr>
                <w:lang w:val="en-GB"/>
              </w:rPr>
            </w:pPr>
            <w:r w:rsidRPr="00CE610C">
              <w:rPr>
                <w:b/>
                <w:lang w:val="en-GB"/>
              </w:rPr>
              <w:t>Duration Estimate</w:t>
            </w:r>
          </w:p>
        </w:tc>
      </w:tr>
      <w:tr w:rsidR="00A44AF8" w:rsidRPr="00CE610C" w14:paraId="1CE935AB" w14:textId="77777777">
        <w:trPr>
          <w:trHeight w:val="10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D9C5F5" w14:textId="77777777" w:rsidR="00A44AF8" w:rsidRPr="00CE610C" w:rsidRDefault="004105E9">
            <w:pPr>
              <w:spacing w:before="240" w:after="0"/>
              <w:rPr>
                <w:b/>
                <w:lang w:val="en-GB"/>
              </w:rPr>
            </w:pPr>
            <w:r w:rsidRPr="00CE610C">
              <w:rPr>
                <w:b/>
                <w:lang w:val="en-GB"/>
              </w:rPr>
              <w:t>Delivery of data space components</w:t>
            </w:r>
          </w:p>
        </w:tc>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8C3387" w14:textId="77777777" w:rsidR="00A44AF8" w:rsidRPr="00CE610C" w:rsidRDefault="004105E9">
            <w:pPr>
              <w:spacing w:before="240" w:after="0"/>
              <w:rPr>
                <w:lang w:val="en-GB"/>
              </w:rPr>
            </w:pPr>
            <w:r w:rsidRPr="00CE610C">
              <w:rPr>
                <w:lang w:val="en-GB"/>
              </w:rPr>
              <w:t>Delivery and configuration of data space components: connector, catalogue, identity &amp; trust modules, audit components, usage policy manager</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A18E9F" w14:textId="77777777" w:rsidR="00A44AF8" w:rsidRPr="00CE610C" w:rsidRDefault="004105E9">
            <w:pPr>
              <w:spacing w:before="240" w:after="240"/>
              <w:rPr>
                <w:lang w:val="en-GB"/>
              </w:rPr>
            </w:pPr>
            <w:r w:rsidRPr="00CE610C">
              <w:rPr>
                <w:lang w:val="en-GB"/>
              </w:rPr>
              <w:t>1-2 months</w:t>
            </w:r>
          </w:p>
        </w:tc>
      </w:tr>
      <w:tr w:rsidR="00A44AF8" w:rsidRPr="00CE610C" w14:paraId="745AFACA" w14:textId="77777777">
        <w:trPr>
          <w:trHeight w:val="10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C94AC" w14:textId="77777777" w:rsidR="00A44AF8" w:rsidRPr="00CE610C" w:rsidRDefault="004105E9">
            <w:pPr>
              <w:spacing w:before="240" w:after="0"/>
              <w:rPr>
                <w:b/>
                <w:lang w:val="en-GB"/>
              </w:rPr>
            </w:pPr>
            <w:r w:rsidRPr="00CE610C">
              <w:rPr>
                <w:b/>
                <w:lang w:val="en-GB"/>
              </w:rPr>
              <w:t>Pilot commissioning and testing support</w:t>
            </w:r>
          </w:p>
        </w:tc>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A06321" w14:textId="77777777" w:rsidR="00A44AF8" w:rsidRPr="00CE610C" w:rsidRDefault="004105E9">
            <w:pPr>
              <w:spacing w:before="240" w:after="0"/>
              <w:rPr>
                <w:lang w:val="en-GB"/>
              </w:rPr>
            </w:pPr>
            <w:r w:rsidRPr="00CE610C">
              <w:rPr>
                <w:lang w:val="en-GB"/>
              </w:rPr>
              <w:t>Installation in the sponsor's environment, basic functional tests, interoperability verification, training of administrators and users</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0797E5" w14:textId="77777777" w:rsidR="00A44AF8" w:rsidRPr="00CE610C" w:rsidRDefault="004105E9">
            <w:pPr>
              <w:spacing w:before="240" w:after="240"/>
              <w:rPr>
                <w:lang w:val="en-GB"/>
              </w:rPr>
            </w:pPr>
            <w:r w:rsidRPr="00CE610C">
              <w:rPr>
                <w:lang w:val="en-GB"/>
              </w:rPr>
              <w:t>2-3 months</w:t>
            </w:r>
          </w:p>
        </w:tc>
      </w:tr>
      <w:tr w:rsidR="00A44AF8" w:rsidRPr="00CE610C" w14:paraId="60D34207" w14:textId="77777777">
        <w:trPr>
          <w:trHeight w:val="10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5405FA" w14:textId="77777777" w:rsidR="00A44AF8" w:rsidRPr="00CE610C" w:rsidRDefault="004105E9">
            <w:pPr>
              <w:spacing w:before="240" w:after="0"/>
              <w:rPr>
                <w:b/>
                <w:lang w:val="en-GB"/>
              </w:rPr>
            </w:pPr>
            <w:r w:rsidRPr="00CE610C">
              <w:rPr>
                <w:b/>
                <w:lang w:val="en-GB"/>
              </w:rPr>
              <w:t>Data integration and registration of participants</w:t>
            </w:r>
          </w:p>
        </w:tc>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76258E" w14:textId="77777777" w:rsidR="00A44AF8" w:rsidRPr="00CE610C" w:rsidRDefault="004105E9">
            <w:pPr>
              <w:spacing w:before="240" w:after="0"/>
              <w:rPr>
                <w:lang w:val="en-GB"/>
              </w:rPr>
            </w:pPr>
            <w:r w:rsidRPr="00CE610C">
              <w:rPr>
                <w:lang w:val="en-GB"/>
              </w:rPr>
              <w:t>Connection of selected partners (e.g. Municipalities, DMOs), preparation and cataloguing of first datasets, setting access rights and roles</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8B9B58" w14:textId="77777777" w:rsidR="00A44AF8" w:rsidRPr="00CE610C" w:rsidRDefault="004105E9">
            <w:pPr>
              <w:spacing w:before="240" w:after="240"/>
              <w:rPr>
                <w:lang w:val="en-GB"/>
              </w:rPr>
            </w:pPr>
            <w:r w:rsidRPr="00CE610C">
              <w:rPr>
                <w:lang w:val="en-GB"/>
              </w:rPr>
              <w:t>1-2 months</w:t>
            </w:r>
          </w:p>
        </w:tc>
      </w:tr>
      <w:tr w:rsidR="00A44AF8" w:rsidRPr="00CE610C" w14:paraId="3FFB5885" w14:textId="77777777">
        <w:trPr>
          <w:trHeight w:val="10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8F630" w14:textId="77777777" w:rsidR="00A44AF8" w:rsidRPr="00CE610C" w:rsidRDefault="004105E9">
            <w:pPr>
              <w:spacing w:before="240" w:after="0"/>
              <w:rPr>
                <w:b/>
                <w:lang w:val="en-GB"/>
              </w:rPr>
            </w:pPr>
            <w:r w:rsidRPr="00CE610C">
              <w:rPr>
                <w:b/>
                <w:lang w:val="en-GB"/>
              </w:rPr>
              <w:t xml:space="preserve">Delivery of technical and methodological documentation </w:t>
            </w:r>
          </w:p>
        </w:tc>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295BA4" w14:textId="77777777" w:rsidR="00A44AF8" w:rsidRPr="00CE610C" w:rsidRDefault="004105E9">
            <w:pPr>
              <w:spacing w:before="240" w:after="0"/>
              <w:rPr>
                <w:lang w:val="en-GB"/>
              </w:rPr>
            </w:pPr>
            <w:r w:rsidRPr="00CE610C">
              <w:rPr>
                <w:lang w:val="en-GB"/>
              </w:rPr>
              <w:t>Comprehensive documentation of components, APIs, architecture, operational parameters, onboarding of partners and integration guides</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AD7200" w14:textId="77777777" w:rsidR="00A44AF8" w:rsidRPr="00CE610C" w:rsidRDefault="004105E9">
            <w:pPr>
              <w:spacing w:before="240" w:after="240"/>
              <w:rPr>
                <w:lang w:val="en-GB"/>
              </w:rPr>
            </w:pPr>
            <w:r w:rsidRPr="00CE610C">
              <w:rPr>
                <w:lang w:val="en-GB"/>
              </w:rPr>
              <w:t>in parallel with phase 2 and 3</w:t>
            </w:r>
          </w:p>
        </w:tc>
      </w:tr>
      <w:tr w:rsidR="00A44AF8" w:rsidRPr="00CE610C" w14:paraId="288A6412" w14:textId="77777777">
        <w:trPr>
          <w:trHeight w:val="1040"/>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7FBD16" w14:textId="77777777" w:rsidR="00A44AF8" w:rsidRPr="00CE610C" w:rsidRDefault="004105E9">
            <w:pPr>
              <w:spacing w:before="240" w:after="0"/>
              <w:rPr>
                <w:b/>
                <w:lang w:val="en-GB"/>
              </w:rPr>
            </w:pPr>
            <w:r w:rsidRPr="00CE610C">
              <w:rPr>
                <w:b/>
                <w:lang w:val="en-GB"/>
              </w:rPr>
              <w:t>Handover and operational preparation (DSaaS)</w:t>
            </w:r>
          </w:p>
        </w:tc>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85B581" w14:textId="77777777" w:rsidR="00A44AF8" w:rsidRPr="00CE610C" w:rsidRDefault="004105E9">
            <w:pPr>
              <w:spacing w:before="240" w:after="0"/>
              <w:rPr>
                <w:lang w:val="en-GB"/>
              </w:rPr>
            </w:pPr>
            <w:r w:rsidRPr="00CE610C">
              <w:rPr>
                <w:lang w:val="en-GB"/>
              </w:rPr>
              <w:t>Finalization of documentation, setting SLAs, handover of the system to administration, definition of operational processes, escalation schemes and exit strategy if necessary</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0FEC3" w14:textId="77777777" w:rsidR="00A44AF8" w:rsidRPr="00CE610C" w:rsidRDefault="004105E9">
            <w:pPr>
              <w:spacing w:before="240" w:after="240"/>
              <w:rPr>
                <w:lang w:val="en-GB"/>
              </w:rPr>
            </w:pPr>
            <w:r w:rsidRPr="00CE610C">
              <w:rPr>
                <w:lang w:val="en-GB"/>
              </w:rPr>
              <w:t>1 month</w:t>
            </w:r>
          </w:p>
        </w:tc>
      </w:tr>
    </w:tbl>
    <w:p w14:paraId="602DC94C" w14:textId="77777777" w:rsidR="00A44AF8" w:rsidRPr="00CE610C" w:rsidRDefault="00A44AF8">
      <w:pPr>
        <w:spacing w:after="0"/>
        <w:rPr>
          <w:lang w:val="en-GB"/>
        </w:rPr>
      </w:pPr>
    </w:p>
    <w:p w14:paraId="1B2B83A7" w14:textId="77777777" w:rsidR="00E11352" w:rsidRPr="00CE610C" w:rsidRDefault="00E11352">
      <w:pPr>
        <w:rPr>
          <w:color w:val="2F5496"/>
          <w:sz w:val="32"/>
          <w:szCs w:val="32"/>
          <w:lang w:val="en-GB"/>
        </w:rPr>
      </w:pPr>
      <w:r w:rsidRPr="00CE610C">
        <w:rPr>
          <w:lang w:val="en-GB"/>
        </w:rPr>
        <w:br w:type="page"/>
      </w:r>
    </w:p>
    <w:p w14:paraId="067A484C" w14:textId="48BD246F" w:rsidR="004105E9" w:rsidRPr="00CE610C" w:rsidRDefault="004105E9" w:rsidP="004105E9">
      <w:pPr>
        <w:pStyle w:val="Nadpis2"/>
        <w:numPr>
          <w:ilvl w:val="0"/>
          <w:numId w:val="23"/>
        </w:numPr>
        <w:rPr>
          <w:lang w:val="en-GB"/>
        </w:rPr>
      </w:pPr>
      <w:r w:rsidRPr="00CE610C">
        <w:rPr>
          <w:lang w:val="en-GB"/>
        </w:rPr>
        <w:lastRenderedPageBreak/>
        <w:t>Glossary of data space terms</w:t>
      </w:r>
    </w:p>
    <w:p w14:paraId="61E6F7EF" w14:textId="77777777" w:rsidR="004105E9" w:rsidRPr="00CE610C" w:rsidRDefault="004105E9" w:rsidP="004105E9">
      <w:pPr>
        <w:rPr>
          <w:lang w:val="en-GB"/>
        </w:rPr>
      </w:pPr>
    </w:p>
    <w:tbl>
      <w:tblPr>
        <w:tblW w:w="9030" w:type="dxa"/>
        <w:tblBorders>
          <w:insideH w:val="nil"/>
          <w:insideV w:val="nil"/>
        </w:tblBorders>
        <w:tblLayout w:type="fixed"/>
        <w:tblLook w:val="0600" w:firstRow="0" w:lastRow="0" w:firstColumn="0" w:lastColumn="0" w:noHBand="1" w:noVBand="1"/>
      </w:tblPr>
      <w:tblGrid>
        <w:gridCol w:w="2827"/>
        <w:gridCol w:w="6203"/>
      </w:tblGrid>
      <w:tr w:rsidR="004105E9" w:rsidRPr="00CE610C" w14:paraId="79676E1C" w14:textId="77777777" w:rsidTr="00E11352">
        <w:trPr>
          <w:trHeight w:val="42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C28774" w14:textId="77777777" w:rsidR="004105E9" w:rsidRPr="00CE610C" w:rsidRDefault="004105E9" w:rsidP="00E11352">
            <w:pPr>
              <w:spacing w:after="120"/>
              <w:rPr>
                <w:b/>
                <w:lang w:val="en-GB"/>
              </w:rPr>
            </w:pPr>
            <w:r w:rsidRPr="00CE610C">
              <w:rPr>
                <w:b/>
                <w:lang w:val="en-GB"/>
              </w:rPr>
              <w:t>Term</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D3621A" w14:textId="77777777" w:rsidR="004105E9" w:rsidRPr="00CE610C" w:rsidRDefault="004105E9" w:rsidP="00E11352">
            <w:pPr>
              <w:spacing w:after="120"/>
              <w:rPr>
                <w:b/>
                <w:lang w:val="en-GB"/>
              </w:rPr>
            </w:pPr>
            <w:r w:rsidRPr="00CE610C">
              <w:rPr>
                <w:b/>
                <w:lang w:val="en-GB"/>
              </w:rPr>
              <w:t>Definition</w:t>
            </w:r>
          </w:p>
        </w:tc>
      </w:tr>
      <w:tr w:rsidR="004105E9" w:rsidRPr="00CE610C" w14:paraId="0AFD1A66" w14:textId="77777777" w:rsidTr="004105E9">
        <w:trPr>
          <w:trHeight w:val="135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FF8333E" w14:textId="77777777" w:rsidR="004105E9" w:rsidRPr="00CE610C" w:rsidRDefault="004105E9" w:rsidP="004105E9">
            <w:pPr>
              <w:rPr>
                <w:b/>
                <w:lang w:val="en-GB"/>
              </w:rPr>
            </w:pPr>
            <w:r w:rsidRPr="00CE610C">
              <w:rPr>
                <w:b/>
                <w:lang w:val="en-GB"/>
              </w:rPr>
              <w:t>Clearing House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FD289CC" w14:textId="77777777" w:rsidR="004105E9" w:rsidRPr="00CE610C" w:rsidRDefault="004105E9" w:rsidP="004105E9">
            <w:pPr>
              <w:rPr>
                <w:lang w:val="en-GB"/>
              </w:rPr>
            </w:pPr>
            <w:r w:rsidRPr="00CE610C">
              <w:rPr>
                <w:lang w:val="en-GB"/>
              </w:rPr>
              <w:t>A component in the data space that logs transactions between participants (e.g., who shared what with whom). It ensures auditability, trust, and sometimes billing in case of paid data exchange.</w:t>
            </w:r>
          </w:p>
        </w:tc>
      </w:tr>
      <w:tr w:rsidR="004105E9" w:rsidRPr="00CE610C" w14:paraId="36EBBB50" w14:textId="77777777" w:rsidTr="004105E9">
        <w:trPr>
          <w:trHeight w:val="666"/>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EA72E1" w14:textId="77777777" w:rsidR="004105E9" w:rsidRPr="00CE610C" w:rsidRDefault="004105E9" w:rsidP="004105E9">
            <w:pPr>
              <w:rPr>
                <w:b/>
                <w:lang w:val="en-GB"/>
              </w:rPr>
            </w:pPr>
            <w:r w:rsidRPr="00CE610C">
              <w:rPr>
                <w:b/>
                <w:lang w:val="en-GB"/>
              </w:rPr>
              <w:t>Connector</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45E193" w14:textId="77777777" w:rsidR="004105E9" w:rsidRPr="00CE610C" w:rsidRDefault="004105E9" w:rsidP="004105E9">
            <w:pPr>
              <w:rPr>
                <w:lang w:val="en-GB"/>
              </w:rPr>
            </w:pPr>
            <w:r w:rsidRPr="00CE610C">
              <w:rPr>
                <w:lang w:val="en-GB"/>
              </w:rPr>
              <w:t>A software component that connects participants in a data space and enables secure and controlled data sharing.</w:t>
            </w:r>
          </w:p>
        </w:tc>
      </w:tr>
      <w:tr w:rsidR="004105E9" w:rsidRPr="00CE610C" w14:paraId="3F71BB60" w14:textId="77777777" w:rsidTr="004105E9">
        <w:trPr>
          <w:trHeight w:val="686"/>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7DD018" w14:textId="77777777" w:rsidR="004105E9" w:rsidRPr="00CE610C" w:rsidRDefault="004105E9" w:rsidP="004105E9">
            <w:pPr>
              <w:rPr>
                <w:b/>
                <w:lang w:val="en-GB"/>
              </w:rPr>
            </w:pPr>
            <w:r w:rsidRPr="00CE610C">
              <w:rPr>
                <w:b/>
                <w:lang w:val="en-GB"/>
              </w:rPr>
              <w:t>CSV (Comma-Separated Values)</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A4EF00" w14:textId="77777777" w:rsidR="004105E9" w:rsidRPr="00CE610C" w:rsidRDefault="004105E9" w:rsidP="004105E9">
            <w:pPr>
              <w:rPr>
                <w:lang w:val="en-GB"/>
              </w:rPr>
            </w:pPr>
            <w:r w:rsidRPr="00CE610C">
              <w:rPr>
                <w:lang w:val="en-GB"/>
              </w:rPr>
              <w:t>A simple file format for tabular data. Commonly used for importing/exporting data but lacks semantic structure.</w:t>
            </w:r>
          </w:p>
        </w:tc>
      </w:tr>
      <w:tr w:rsidR="004105E9" w:rsidRPr="00CE610C" w14:paraId="6B775B22" w14:textId="77777777" w:rsidTr="004105E9">
        <w:trPr>
          <w:trHeight w:val="1271"/>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92E2CB1" w14:textId="77777777" w:rsidR="004105E9" w:rsidRPr="00CE610C" w:rsidRDefault="004105E9" w:rsidP="004105E9">
            <w:pPr>
              <w:rPr>
                <w:b/>
                <w:lang w:val="en-GB"/>
              </w:rPr>
            </w:pPr>
            <w:r w:rsidRPr="00CE610C">
              <w:rPr>
                <w:b/>
                <w:lang w:val="en-GB"/>
              </w:rPr>
              <w:t>DCAT-AP (Data Catalog Vocabulary – Application Profile)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753B78" w14:textId="77777777" w:rsidR="004105E9" w:rsidRPr="00CE610C" w:rsidRDefault="004105E9" w:rsidP="004105E9">
            <w:pPr>
              <w:rPr>
                <w:lang w:val="en-GB"/>
              </w:rPr>
            </w:pPr>
            <w:r w:rsidRPr="00CE610C">
              <w:rPr>
                <w:lang w:val="en-GB"/>
              </w:rPr>
              <w:t>A European profile for describing metadata of data catalogs (e.g., in public administration or data spaces). Facilitates easy discovery and sharing of datasets across portals.</w:t>
            </w:r>
          </w:p>
        </w:tc>
      </w:tr>
      <w:tr w:rsidR="004105E9" w:rsidRPr="00CE610C" w14:paraId="1FCB1714" w14:textId="77777777" w:rsidTr="004105E9">
        <w:trPr>
          <w:trHeight w:val="109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CF020CF" w14:textId="77777777" w:rsidR="004105E9" w:rsidRPr="00CE610C" w:rsidRDefault="004105E9" w:rsidP="004105E9">
            <w:pPr>
              <w:rPr>
                <w:b/>
                <w:lang w:val="en-GB"/>
              </w:rPr>
            </w:pPr>
            <w:r w:rsidRPr="00CE610C">
              <w:rPr>
                <w:b/>
                <w:lang w:val="en-GB"/>
              </w:rPr>
              <w:t>DSaaS (Data Space as a Service)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278FFA" w14:textId="77777777" w:rsidR="004105E9" w:rsidRPr="00CE610C" w:rsidRDefault="004105E9" w:rsidP="004105E9">
            <w:pPr>
              <w:rPr>
                <w:lang w:val="en-GB"/>
              </w:rPr>
            </w:pPr>
            <w:r w:rsidRPr="00CE610C">
              <w:rPr>
                <w:lang w:val="en-GB"/>
              </w:rPr>
              <w:t>A model in which the entire data space or its components (e.g., connector, catalog, identity management) are provided as a service.</w:t>
            </w:r>
          </w:p>
        </w:tc>
      </w:tr>
      <w:tr w:rsidR="004105E9" w:rsidRPr="00CE610C" w14:paraId="4B60A58D" w14:textId="77777777" w:rsidTr="004105E9">
        <w:trPr>
          <w:trHeight w:val="1251"/>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412904" w14:textId="77777777" w:rsidR="004105E9" w:rsidRPr="00CE610C" w:rsidRDefault="004105E9" w:rsidP="004105E9">
            <w:pPr>
              <w:rPr>
                <w:b/>
                <w:lang w:val="en-GB"/>
              </w:rPr>
            </w:pPr>
            <w:r w:rsidRPr="00CE610C">
              <w:rPr>
                <w:b/>
                <w:lang w:val="en-GB"/>
              </w:rPr>
              <w:t>DSSC (Data Space Support Centre)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CF6B9F" w14:textId="77777777" w:rsidR="004105E9" w:rsidRPr="00CE610C" w:rsidRDefault="004105E9" w:rsidP="004105E9">
            <w:pPr>
              <w:rPr>
                <w:lang w:val="en-GB"/>
              </w:rPr>
            </w:pPr>
            <w:r w:rsidRPr="00CE610C">
              <w:rPr>
                <w:lang w:val="en-GB"/>
              </w:rPr>
              <w:t>A European centre coordinating the development of common European data spaces. It provides methodologies, blueprints, standards, and glossaries. It serves as an umbrella for sector-specific data space initiatives.</w:t>
            </w:r>
          </w:p>
        </w:tc>
      </w:tr>
      <w:tr w:rsidR="004105E9" w:rsidRPr="00CE610C" w14:paraId="221A9E22" w14:textId="77777777" w:rsidTr="004105E9">
        <w:trPr>
          <w:trHeight w:val="135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5BBF68D" w14:textId="77777777" w:rsidR="004105E9" w:rsidRPr="00CE610C" w:rsidRDefault="004105E9" w:rsidP="004105E9">
            <w:pPr>
              <w:rPr>
                <w:b/>
                <w:lang w:val="en-GB"/>
              </w:rPr>
            </w:pPr>
            <w:r w:rsidRPr="00CE610C">
              <w:rPr>
                <w:b/>
                <w:lang w:val="en-GB"/>
              </w:rPr>
              <w:t>DSSC Sandbox</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6EE6161" w14:textId="77777777" w:rsidR="004105E9" w:rsidRPr="00CE610C" w:rsidRDefault="004105E9" w:rsidP="004105E9">
            <w:pPr>
              <w:rPr>
                <w:lang w:val="en-GB"/>
              </w:rPr>
            </w:pPr>
            <w:r w:rsidRPr="00CE610C">
              <w:rPr>
                <w:lang w:val="en-GB"/>
              </w:rPr>
              <w:t>A test environment created by the DSSC where developers and organizations can experiment with data space components such as connectors, catalogs, and identity management tools.</w:t>
            </w:r>
          </w:p>
        </w:tc>
      </w:tr>
      <w:tr w:rsidR="004105E9" w:rsidRPr="00CE610C" w14:paraId="587DD6CB" w14:textId="77777777" w:rsidTr="004105E9">
        <w:trPr>
          <w:trHeight w:val="1028"/>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31344C" w14:textId="77777777" w:rsidR="004105E9" w:rsidRPr="00CE610C" w:rsidRDefault="004105E9" w:rsidP="004105E9">
            <w:pPr>
              <w:rPr>
                <w:b/>
                <w:lang w:val="en-GB"/>
              </w:rPr>
            </w:pPr>
            <w:r w:rsidRPr="00CE610C">
              <w:rPr>
                <w:b/>
                <w:lang w:val="en-GB"/>
              </w:rPr>
              <w:t>EDC (Eclipse Dataspace Components)</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4B03F6B" w14:textId="77777777" w:rsidR="004105E9" w:rsidRPr="00CE610C" w:rsidRDefault="004105E9" w:rsidP="004105E9">
            <w:pPr>
              <w:rPr>
                <w:lang w:val="en-GB"/>
              </w:rPr>
            </w:pPr>
            <w:r w:rsidRPr="00CE610C">
              <w:rPr>
                <w:lang w:val="en-GB"/>
              </w:rPr>
              <w:t>An open-source framework maintained by the Eclipse Foundation for building connectors in data spaces. Supports Dataspace Protocol and modular development.</w:t>
            </w:r>
          </w:p>
        </w:tc>
      </w:tr>
      <w:tr w:rsidR="004105E9" w:rsidRPr="00CE610C" w14:paraId="4011B676"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A60B4D" w14:textId="77777777" w:rsidR="004105E9" w:rsidRPr="00CE610C" w:rsidRDefault="004105E9" w:rsidP="004105E9">
            <w:pPr>
              <w:rPr>
                <w:b/>
                <w:lang w:val="en-GB"/>
              </w:rPr>
            </w:pPr>
            <w:r w:rsidRPr="00CE610C">
              <w:rPr>
                <w:b/>
                <w:lang w:val="en-GB"/>
              </w:rPr>
              <w:lastRenderedPageBreak/>
              <w:t>EDWG (European Data Working Group)</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30C75D7" w14:textId="77777777" w:rsidR="004105E9" w:rsidRPr="00CE610C" w:rsidRDefault="004105E9" w:rsidP="004105E9">
            <w:pPr>
              <w:rPr>
                <w:lang w:val="en-GB"/>
              </w:rPr>
            </w:pPr>
            <w:r w:rsidRPr="00CE610C">
              <w:rPr>
                <w:lang w:val="en-GB"/>
              </w:rPr>
              <w:t>A European-level working group focusing on the development of data spaces, data interoperability, and strategic frameworks.</w:t>
            </w:r>
          </w:p>
        </w:tc>
      </w:tr>
      <w:tr w:rsidR="004105E9" w:rsidRPr="00CE610C" w14:paraId="505B1455"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291A25D" w14:textId="77777777" w:rsidR="004105E9" w:rsidRPr="00CE610C" w:rsidRDefault="004105E9" w:rsidP="004105E9">
            <w:pPr>
              <w:rPr>
                <w:b/>
                <w:lang w:val="en-GB"/>
              </w:rPr>
            </w:pPr>
            <w:r w:rsidRPr="00CE610C">
              <w:rPr>
                <w:b/>
                <w:lang w:val="en-GB"/>
              </w:rPr>
              <w:t>eIDAS 2.0</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0E86EE" w14:textId="77777777" w:rsidR="004105E9" w:rsidRPr="00CE610C" w:rsidRDefault="004105E9" w:rsidP="004105E9">
            <w:pPr>
              <w:rPr>
                <w:lang w:val="en-GB"/>
              </w:rPr>
            </w:pPr>
            <w:r w:rsidRPr="00CE610C">
              <w:rPr>
                <w:lang w:val="en-GB"/>
              </w:rPr>
              <w:t>The revised European regulation on electronic identification, introducing the EUDI Wallet and enabling cross-border digital identity interoperability.</w:t>
            </w:r>
          </w:p>
        </w:tc>
      </w:tr>
      <w:tr w:rsidR="004105E9" w:rsidRPr="00CE610C" w14:paraId="4FEC0A6E" w14:textId="77777777" w:rsidTr="004105E9">
        <w:trPr>
          <w:trHeight w:val="1104"/>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27D061" w14:textId="77777777" w:rsidR="004105E9" w:rsidRPr="00CE610C" w:rsidRDefault="004105E9" w:rsidP="004105E9">
            <w:pPr>
              <w:rPr>
                <w:b/>
                <w:lang w:val="en-GB"/>
              </w:rPr>
            </w:pPr>
            <w:r w:rsidRPr="00CE610C">
              <w:rPr>
                <w:b/>
                <w:lang w:val="en-GB"/>
              </w:rPr>
              <w:t>ENISA (EU Agency for Cybersecurity)</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F71E85C" w14:textId="77777777" w:rsidR="004105E9" w:rsidRPr="00CE610C" w:rsidRDefault="004105E9" w:rsidP="004105E9">
            <w:pPr>
              <w:rPr>
                <w:lang w:val="en-GB"/>
              </w:rPr>
            </w:pPr>
            <w:r w:rsidRPr="00CE610C">
              <w:rPr>
                <w:lang w:val="en-GB"/>
              </w:rPr>
              <w:t>The European Union agency responsible for cybersecurity. It issues certification schemes (e.g., EUCS) and guidelines for securing data space components.</w:t>
            </w:r>
          </w:p>
        </w:tc>
      </w:tr>
      <w:tr w:rsidR="004105E9" w:rsidRPr="00CE610C" w14:paraId="0C16EA27" w14:textId="77777777" w:rsidTr="004105E9">
        <w:trPr>
          <w:trHeight w:val="135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59054A" w14:textId="77777777" w:rsidR="004105E9" w:rsidRPr="00CE610C" w:rsidRDefault="004105E9" w:rsidP="004105E9">
            <w:pPr>
              <w:rPr>
                <w:b/>
                <w:lang w:val="en-GB"/>
              </w:rPr>
            </w:pPr>
            <w:r w:rsidRPr="00CE610C">
              <w:rPr>
                <w:b/>
                <w:lang w:val="en-GB"/>
              </w:rPr>
              <w:t>EUDI Wallet (European Digital Identity Wallet)</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2CADDE" w14:textId="77777777" w:rsidR="004105E9" w:rsidRPr="00CE610C" w:rsidRDefault="004105E9" w:rsidP="004105E9">
            <w:pPr>
              <w:rPr>
                <w:lang w:val="en-GB"/>
              </w:rPr>
            </w:pPr>
            <w:r w:rsidRPr="00CE610C">
              <w:rPr>
                <w:lang w:val="en-GB"/>
              </w:rPr>
              <w:t>A European digital identity wallet under eIDAS 2.0 allowing citizens and businesses to store and use trusted digital credentials, e.g., for accessing services or signing transactions in data spaces.</w:t>
            </w:r>
          </w:p>
        </w:tc>
      </w:tr>
      <w:tr w:rsidR="004105E9" w:rsidRPr="00CE610C" w14:paraId="10F0F4F4" w14:textId="77777777" w:rsidTr="004105E9">
        <w:trPr>
          <w:trHeight w:val="7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6219F1A" w14:textId="77777777" w:rsidR="004105E9" w:rsidRPr="00CE610C" w:rsidRDefault="004105E9" w:rsidP="004105E9">
            <w:pPr>
              <w:rPr>
                <w:b/>
                <w:lang w:val="en-GB"/>
              </w:rPr>
            </w:pPr>
            <w:r w:rsidRPr="00CE610C">
              <w:rPr>
                <w:b/>
                <w:lang w:val="en-GB"/>
              </w:rPr>
              <w:t>GAIA-X</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E1867B" w14:textId="77777777" w:rsidR="004105E9" w:rsidRPr="00CE610C" w:rsidRDefault="004105E9" w:rsidP="004105E9">
            <w:pPr>
              <w:rPr>
                <w:lang w:val="en-GB"/>
              </w:rPr>
            </w:pPr>
            <w:r w:rsidRPr="00CE610C">
              <w:rPr>
                <w:lang w:val="en-GB"/>
              </w:rPr>
              <w:t>A European initiative aiming to create a federated data infrastructure based on open standards.</w:t>
            </w:r>
          </w:p>
        </w:tc>
      </w:tr>
      <w:tr w:rsidR="004105E9" w:rsidRPr="00CE610C" w14:paraId="1EAA27F6" w14:textId="77777777" w:rsidTr="004105E9">
        <w:trPr>
          <w:trHeight w:val="1013"/>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F1E712" w14:textId="77777777" w:rsidR="004105E9" w:rsidRPr="00CE610C" w:rsidRDefault="004105E9" w:rsidP="004105E9">
            <w:pPr>
              <w:rPr>
                <w:b/>
                <w:lang w:val="en-GB"/>
              </w:rPr>
            </w:pPr>
            <w:r w:rsidRPr="00CE610C">
              <w:rPr>
                <w:b/>
                <w:lang w:val="en-GB"/>
              </w:rPr>
              <w:t>GAIA-X Federation Services</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93A5A62" w14:textId="77777777" w:rsidR="004105E9" w:rsidRPr="00CE610C" w:rsidRDefault="004105E9" w:rsidP="004105E9">
            <w:pPr>
              <w:rPr>
                <w:lang w:val="en-GB"/>
              </w:rPr>
            </w:pPr>
            <w:r w:rsidRPr="00CE610C">
              <w:rPr>
                <w:lang w:val="en-GB"/>
              </w:rPr>
              <w:t>A set of services ensuring interoperability and trust within a federation of data spaces. These are foundational building blocks of the Gaia-X ecosystem.</w:t>
            </w:r>
          </w:p>
        </w:tc>
      </w:tr>
      <w:tr w:rsidR="004105E9" w:rsidRPr="00CE610C" w14:paraId="5E923816" w14:textId="77777777" w:rsidTr="004105E9">
        <w:trPr>
          <w:trHeight w:val="596"/>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CBD15A" w14:textId="77777777" w:rsidR="004105E9" w:rsidRPr="00CE610C" w:rsidRDefault="004105E9" w:rsidP="004105E9">
            <w:pPr>
              <w:rPr>
                <w:b/>
                <w:lang w:val="en-GB"/>
              </w:rPr>
            </w:pPr>
            <w:r w:rsidRPr="00CE610C">
              <w:rPr>
                <w:b/>
                <w:lang w:val="en-GB"/>
              </w:rPr>
              <w:t>Identity and Trust Modules</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62B1A07" w14:textId="77777777" w:rsidR="004105E9" w:rsidRPr="00CE610C" w:rsidRDefault="004105E9" w:rsidP="004105E9">
            <w:pPr>
              <w:rPr>
                <w:lang w:val="en-GB"/>
              </w:rPr>
            </w:pPr>
            <w:r w:rsidRPr="00CE610C">
              <w:rPr>
                <w:lang w:val="en-GB"/>
              </w:rPr>
              <w:t>Modules that manage identity and trust relationships within a data space.</w:t>
            </w:r>
          </w:p>
        </w:tc>
      </w:tr>
      <w:tr w:rsidR="004105E9" w:rsidRPr="00CE610C" w14:paraId="069A6C47"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7E9C84" w14:textId="77777777" w:rsidR="004105E9" w:rsidRPr="00CE610C" w:rsidRDefault="004105E9" w:rsidP="004105E9">
            <w:pPr>
              <w:rPr>
                <w:b/>
                <w:lang w:val="en-GB"/>
              </w:rPr>
            </w:pPr>
            <w:r w:rsidRPr="00CE610C">
              <w:rPr>
                <w:b/>
                <w:lang w:val="en-GB"/>
              </w:rPr>
              <w:t>IDS Rulebook</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474121" w14:textId="77777777" w:rsidR="004105E9" w:rsidRPr="00CE610C" w:rsidRDefault="004105E9" w:rsidP="004105E9">
            <w:pPr>
              <w:rPr>
                <w:lang w:val="en-GB"/>
              </w:rPr>
            </w:pPr>
            <w:r w:rsidRPr="00CE610C">
              <w:rPr>
                <w:lang w:val="en-GB"/>
              </w:rPr>
              <w:t>A document issued by IDSA that sets technical, legal, and organizational rules for operating data spaces based on the IDS architecture.</w:t>
            </w:r>
          </w:p>
        </w:tc>
      </w:tr>
      <w:tr w:rsidR="004105E9" w:rsidRPr="00CE610C" w14:paraId="07895126" w14:textId="77777777" w:rsidTr="004105E9">
        <w:trPr>
          <w:trHeight w:val="844"/>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D3898BC" w14:textId="77777777" w:rsidR="004105E9" w:rsidRPr="00CE610C" w:rsidRDefault="004105E9" w:rsidP="004105E9">
            <w:pPr>
              <w:rPr>
                <w:b/>
                <w:lang w:val="en-GB"/>
              </w:rPr>
            </w:pPr>
            <w:r w:rsidRPr="00CE610C">
              <w:rPr>
                <w:b/>
                <w:lang w:val="en-GB"/>
              </w:rPr>
              <w:t>IDSA (International Data Spaces Association)</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48664C" w14:textId="77777777" w:rsidR="004105E9" w:rsidRPr="00CE610C" w:rsidRDefault="004105E9" w:rsidP="004105E9">
            <w:pPr>
              <w:rPr>
                <w:lang w:val="en-GB"/>
              </w:rPr>
            </w:pPr>
            <w:r w:rsidRPr="00CE610C">
              <w:rPr>
                <w:lang w:val="en-GB"/>
              </w:rPr>
              <w:t>A non-profit international association aiming to enable interoperable and trustworthy data exchange across sectors.</w:t>
            </w:r>
          </w:p>
        </w:tc>
      </w:tr>
      <w:tr w:rsidR="004105E9" w:rsidRPr="00CE610C" w14:paraId="4D3E5C42" w14:textId="77777777" w:rsidTr="004105E9">
        <w:trPr>
          <w:trHeight w:val="11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9FAC29F" w14:textId="77777777" w:rsidR="004105E9" w:rsidRPr="00CE610C" w:rsidRDefault="004105E9" w:rsidP="004105E9">
            <w:pPr>
              <w:rPr>
                <w:b/>
                <w:lang w:val="en-GB"/>
              </w:rPr>
            </w:pPr>
            <w:r w:rsidRPr="00CE610C">
              <w:rPr>
                <w:b/>
                <w:lang w:val="en-GB"/>
              </w:rPr>
              <w:t>IDS-RAM (Reference Architecture Model)</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40920DB" w14:textId="77777777" w:rsidR="004105E9" w:rsidRPr="00CE610C" w:rsidRDefault="004105E9" w:rsidP="004105E9">
            <w:pPr>
              <w:rPr>
                <w:lang w:val="en-GB"/>
              </w:rPr>
            </w:pPr>
            <w:r w:rsidRPr="00CE610C">
              <w:rPr>
                <w:lang w:val="en-GB"/>
              </w:rPr>
              <w:t>A reference architecture developed by IDSA that defines the components (e.g., connector), roles, processes, and security principles for implementing a data space.</w:t>
            </w:r>
          </w:p>
        </w:tc>
      </w:tr>
      <w:tr w:rsidR="004105E9" w:rsidRPr="00CE610C" w14:paraId="5670E25D" w14:textId="77777777" w:rsidTr="004105E9">
        <w:trPr>
          <w:trHeight w:val="1319"/>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C661CA0" w14:textId="77777777" w:rsidR="004105E9" w:rsidRPr="00CE610C" w:rsidRDefault="004105E9" w:rsidP="004105E9">
            <w:pPr>
              <w:rPr>
                <w:b/>
                <w:lang w:val="en-GB"/>
              </w:rPr>
            </w:pPr>
            <w:r w:rsidRPr="00CE610C">
              <w:rPr>
                <w:b/>
                <w:lang w:val="en-GB"/>
              </w:rPr>
              <w:lastRenderedPageBreak/>
              <w:t>INSPIRE / GeoJSON</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4651F5C" w14:textId="77777777" w:rsidR="004105E9" w:rsidRPr="00CE610C" w:rsidRDefault="004105E9" w:rsidP="004105E9">
            <w:pPr>
              <w:rPr>
                <w:lang w:val="en-GB"/>
              </w:rPr>
            </w:pPr>
            <w:r w:rsidRPr="00CE610C">
              <w:rPr>
                <w:lang w:val="en-GB"/>
              </w:rPr>
              <w:t>INSPIRE: EU directive standardizing spatial data infrastructures. GeoJSON: A format for representing geographic data such as points, lines, and polygons, used in mobility or tourism data spaces.</w:t>
            </w:r>
          </w:p>
        </w:tc>
      </w:tr>
      <w:tr w:rsidR="004105E9" w:rsidRPr="00CE610C" w14:paraId="7BFEC85D" w14:textId="77777777" w:rsidTr="004105E9">
        <w:trPr>
          <w:trHeight w:val="712"/>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A8F0BD" w14:textId="77777777" w:rsidR="004105E9" w:rsidRPr="00CE610C" w:rsidRDefault="004105E9" w:rsidP="004105E9">
            <w:pPr>
              <w:rPr>
                <w:b/>
                <w:lang w:val="en-GB"/>
              </w:rPr>
            </w:pPr>
            <w:r w:rsidRPr="00CE610C">
              <w:rPr>
                <w:b/>
                <w:lang w:val="en-GB"/>
              </w:rPr>
              <w:t>iSHARE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3284C2A" w14:textId="77777777" w:rsidR="004105E9" w:rsidRPr="00CE610C" w:rsidRDefault="004105E9" w:rsidP="004105E9">
            <w:pPr>
              <w:rPr>
                <w:lang w:val="en-GB"/>
              </w:rPr>
            </w:pPr>
            <w:r w:rsidRPr="00CE610C">
              <w:rPr>
                <w:lang w:val="en-GB"/>
              </w:rPr>
              <w:t>A Dutch framework for identity management, access control, and trust in decentralized data-sharing environments.</w:t>
            </w:r>
          </w:p>
        </w:tc>
      </w:tr>
      <w:tr w:rsidR="004105E9" w:rsidRPr="00CE610C" w14:paraId="5C8ACCB3" w14:textId="77777777" w:rsidTr="004105E9">
        <w:trPr>
          <w:trHeight w:val="164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598135" w14:textId="77777777" w:rsidR="004105E9" w:rsidRPr="00CE610C" w:rsidRDefault="004105E9" w:rsidP="004105E9">
            <w:pPr>
              <w:rPr>
                <w:b/>
                <w:lang w:val="en-GB"/>
              </w:rPr>
            </w:pPr>
            <w:r w:rsidRPr="00CE610C">
              <w:rPr>
                <w:b/>
                <w:lang w:val="en-GB"/>
              </w:rPr>
              <w:t>ISO/IEC</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CBEBDF9" w14:textId="77777777" w:rsidR="004105E9" w:rsidRPr="00CE610C" w:rsidRDefault="004105E9" w:rsidP="004105E9">
            <w:pPr>
              <w:rPr>
                <w:lang w:val="en-GB"/>
              </w:rPr>
            </w:pPr>
            <w:r w:rsidRPr="00CE610C">
              <w:rPr>
                <w:lang w:val="en-GB"/>
              </w:rPr>
              <w:t>International standardization bodies (International Organization for Standardization and International Electrotechnical Commission) that develop global technical standards, including for data security, cloud services, and data exchange.</w:t>
            </w:r>
          </w:p>
        </w:tc>
      </w:tr>
      <w:tr w:rsidR="004105E9" w:rsidRPr="00CE610C" w14:paraId="2F5F2A3E"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3DBE7A9" w14:textId="77777777" w:rsidR="004105E9" w:rsidRPr="00CE610C" w:rsidRDefault="004105E9" w:rsidP="004105E9">
            <w:pPr>
              <w:rPr>
                <w:b/>
                <w:lang w:val="en-GB"/>
              </w:rPr>
            </w:pPr>
            <w:r w:rsidRPr="00CE610C">
              <w:rPr>
                <w:b/>
                <w:lang w:val="en-GB"/>
              </w:rPr>
              <w:t>JSON-LD (JavaScript Object Notation for Linked Data)</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653292B" w14:textId="77777777" w:rsidR="004105E9" w:rsidRPr="00CE610C" w:rsidRDefault="004105E9" w:rsidP="004105E9">
            <w:pPr>
              <w:rPr>
                <w:lang w:val="en-GB"/>
              </w:rPr>
            </w:pPr>
            <w:r w:rsidRPr="00CE610C">
              <w:rPr>
                <w:lang w:val="en-GB"/>
              </w:rPr>
              <w:t>An extension of the JSON format with semantic capabilities. Recommended by W3C for datasets that use linked data principles (e.g., DCAT-AP).</w:t>
            </w:r>
          </w:p>
        </w:tc>
      </w:tr>
      <w:tr w:rsidR="004105E9" w:rsidRPr="00CE610C" w14:paraId="08695D3B" w14:textId="77777777" w:rsidTr="004105E9">
        <w:trPr>
          <w:trHeight w:val="1063"/>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E45B45" w14:textId="77777777" w:rsidR="004105E9" w:rsidRPr="00CE610C" w:rsidRDefault="004105E9" w:rsidP="004105E9">
            <w:pPr>
              <w:rPr>
                <w:b/>
                <w:lang w:val="en-GB"/>
              </w:rPr>
            </w:pPr>
            <w:r w:rsidRPr="00CE610C">
              <w:rPr>
                <w:b/>
                <w:lang w:val="en-GB"/>
              </w:rPr>
              <w:t>LUCON (LUcy CONtract enforcement)</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8E629A" w14:textId="77777777" w:rsidR="004105E9" w:rsidRPr="00CE610C" w:rsidRDefault="004105E9" w:rsidP="004105E9">
            <w:pPr>
              <w:rPr>
                <w:lang w:val="en-GB"/>
              </w:rPr>
            </w:pPr>
            <w:r w:rsidRPr="00CE610C">
              <w:rPr>
                <w:lang w:val="en-GB"/>
              </w:rPr>
              <w:t>A framework developed by Fraunhofer AISEC for enforcing data usage policies in connectors. Tracks and controls what happens to data after it is shared (IDS Usage Control).</w:t>
            </w:r>
          </w:p>
        </w:tc>
      </w:tr>
      <w:tr w:rsidR="004105E9" w:rsidRPr="00CE610C" w14:paraId="77AAF75A" w14:textId="77777777" w:rsidTr="004105E9">
        <w:trPr>
          <w:trHeight w:val="91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D2A4526" w14:textId="77777777" w:rsidR="004105E9" w:rsidRPr="00CE610C" w:rsidRDefault="004105E9" w:rsidP="004105E9">
            <w:pPr>
              <w:rPr>
                <w:b/>
                <w:lang w:val="en-GB"/>
              </w:rPr>
            </w:pPr>
            <w:r w:rsidRPr="00CE610C">
              <w:rPr>
                <w:b/>
                <w:lang w:val="en-GB"/>
              </w:rPr>
              <w:t>NGSI-LD</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AB9CCB" w14:textId="77777777" w:rsidR="004105E9" w:rsidRPr="00CE610C" w:rsidRDefault="004105E9" w:rsidP="004105E9">
            <w:pPr>
              <w:rPr>
                <w:lang w:val="en-GB"/>
              </w:rPr>
            </w:pPr>
            <w:r w:rsidRPr="00CE610C">
              <w:rPr>
                <w:lang w:val="en-GB"/>
              </w:rPr>
              <w:t>A FIWARE standard for exchanging context-aware information in real time (e.g., sensor and IoT data), based on linked data principles.</w:t>
            </w:r>
          </w:p>
        </w:tc>
      </w:tr>
      <w:tr w:rsidR="004105E9" w:rsidRPr="00CE610C" w14:paraId="5DDA2316" w14:textId="77777777" w:rsidTr="004105E9">
        <w:trPr>
          <w:trHeight w:val="1361"/>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E02F34" w14:textId="77777777" w:rsidR="004105E9" w:rsidRPr="00CE610C" w:rsidRDefault="004105E9" w:rsidP="004105E9">
            <w:pPr>
              <w:rPr>
                <w:b/>
                <w:lang w:val="en-GB"/>
              </w:rPr>
            </w:pPr>
            <w:r w:rsidRPr="00CE610C">
              <w:rPr>
                <w:b/>
                <w:lang w:val="en-GB"/>
              </w:rPr>
              <w:t>NIS2 ready</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7FD34D" w14:textId="77777777" w:rsidR="004105E9" w:rsidRPr="00CE610C" w:rsidRDefault="004105E9" w:rsidP="004105E9">
            <w:pPr>
              <w:rPr>
                <w:lang w:val="en-GB"/>
              </w:rPr>
            </w:pPr>
            <w:r w:rsidRPr="00CE610C">
              <w:rPr>
                <w:lang w:val="en-GB"/>
              </w:rPr>
              <w:t>A label for components, infrastructures, or organizations that comply with the NIS2 Directive (on network and information systems security). Data spaces should meet these security standards.</w:t>
            </w:r>
          </w:p>
        </w:tc>
      </w:tr>
      <w:tr w:rsidR="004105E9" w:rsidRPr="00CE610C" w14:paraId="59E7735C"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80F556" w14:textId="77777777" w:rsidR="004105E9" w:rsidRPr="00CE610C" w:rsidRDefault="004105E9" w:rsidP="004105E9">
            <w:pPr>
              <w:rPr>
                <w:b/>
                <w:lang w:val="en-GB"/>
              </w:rPr>
            </w:pPr>
            <w:r w:rsidRPr="00CE610C">
              <w:rPr>
                <w:b/>
                <w:lang w:val="en-GB"/>
              </w:rPr>
              <w:t>ODRL (Open Digital Rights Language)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509EC3" w14:textId="77777777" w:rsidR="004105E9" w:rsidRPr="00CE610C" w:rsidRDefault="004105E9" w:rsidP="004105E9">
            <w:pPr>
              <w:rPr>
                <w:lang w:val="en-GB"/>
              </w:rPr>
            </w:pPr>
            <w:r w:rsidRPr="00CE610C">
              <w:rPr>
                <w:lang w:val="en-GB"/>
              </w:rPr>
              <w:t>A standard for expressing data usage and access rules. Used in data spaces for enforcing usage policies (e.g., non-commercial use only).</w:t>
            </w:r>
          </w:p>
        </w:tc>
      </w:tr>
      <w:tr w:rsidR="004105E9" w:rsidRPr="00CE610C" w14:paraId="233A489B"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F416611" w14:textId="77777777" w:rsidR="004105E9" w:rsidRPr="00CE610C" w:rsidRDefault="004105E9" w:rsidP="004105E9">
            <w:pPr>
              <w:rPr>
                <w:b/>
                <w:lang w:val="en-GB"/>
              </w:rPr>
            </w:pPr>
            <w:r w:rsidRPr="00CE610C">
              <w:rPr>
                <w:b/>
                <w:lang w:val="en-GB"/>
              </w:rPr>
              <w:t>OWL (Web Ontology Language)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F56541" w14:textId="77777777" w:rsidR="004105E9" w:rsidRPr="00CE610C" w:rsidRDefault="004105E9" w:rsidP="004105E9">
            <w:pPr>
              <w:rPr>
                <w:lang w:val="en-GB"/>
              </w:rPr>
            </w:pPr>
            <w:r w:rsidRPr="00CE610C">
              <w:rPr>
                <w:lang w:val="en-GB"/>
              </w:rPr>
              <w:t>A language for creating semantic models (ontologies) that define terms (e.g., "tourist destination", "accommodation service") and their relationships.</w:t>
            </w:r>
          </w:p>
        </w:tc>
      </w:tr>
      <w:tr w:rsidR="004105E9" w:rsidRPr="00CE610C" w14:paraId="3D1FE646" w14:textId="77777777" w:rsidTr="004105E9">
        <w:trPr>
          <w:trHeight w:val="1067"/>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001B8F" w14:textId="77777777" w:rsidR="004105E9" w:rsidRPr="00CE610C" w:rsidRDefault="004105E9" w:rsidP="004105E9">
            <w:pPr>
              <w:rPr>
                <w:b/>
                <w:lang w:val="en-GB"/>
              </w:rPr>
            </w:pPr>
            <w:r w:rsidRPr="00CE610C">
              <w:rPr>
                <w:b/>
                <w:lang w:val="en-GB"/>
              </w:rPr>
              <w:lastRenderedPageBreak/>
              <w:t>RDF (Resource Description Framework)</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2DE7BC" w14:textId="77777777" w:rsidR="004105E9" w:rsidRPr="00CE610C" w:rsidRDefault="004105E9" w:rsidP="004105E9">
            <w:pPr>
              <w:rPr>
                <w:lang w:val="en-GB"/>
              </w:rPr>
            </w:pPr>
            <w:r w:rsidRPr="00CE610C">
              <w:rPr>
                <w:lang w:val="en-GB"/>
              </w:rPr>
              <w:t>A foundational model for semantic data. Represents data as triples (subject–predicate–object) and supports graph-based knowledge representation.</w:t>
            </w:r>
          </w:p>
        </w:tc>
      </w:tr>
      <w:tr w:rsidR="004105E9" w:rsidRPr="00CE610C" w14:paraId="01CFDBE3" w14:textId="77777777" w:rsidTr="004105E9">
        <w:trPr>
          <w:trHeight w:val="1021"/>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D1D024" w14:textId="77777777" w:rsidR="004105E9" w:rsidRPr="00CE610C" w:rsidRDefault="004105E9" w:rsidP="004105E9">
            <w:pPr>
              <w:rPr>
                <w:b/>
                <w:lang w:val="en-GB"/>
              </w:rPr>
            </w:pPr>
            <w:r w:rsidRPr="00CE610C">
              <w:rPr>
                <w:b/>
                <w:lang w:val="en-GB"/>
              </w:rPr>
              <w:t>RDF/SPARQL endpoint</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2ABE36" w14:textId="77777777" w:rsidR="004105E9" w:rsidRPr="00CE610C" w:rsidRDefault="004105E9" w:rsidP="004105E9">
            <w:pPr>
              <w:rPr>
                <w:lang w:val="en-GB"/>
              </w:rPr>
            </w:pPr>
            <w:r w:rsidRPr="00CE610C">
              <w:rPr>
                <w:lang w:val="en-GB"/>
              </w:rPr>
              <w:t>A web service that provides access to data in RDF format and allows querying it using SPARQL. Common in semantic data infrastructures and data spaces.</w:t>
            </w:r>
          </w:p>
        </w:tc>
      </w:tr>
      <w:tr w:rsidR="004105E9" w:rsidRPr="00CE610C" w14:paraId="0C4C4546" w14:textId="77777777" w:rsidTr="004105E9">
        <w:trPr>
          <w:trHeight w:val="103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3344C5" w14:textId="77777777" w:rsidR="004105E9" w:rsidRPr="00CE610C" w:rsidRDefault="004105E9" w:rsidP="004105E9">
            <w:pPr>
              <w:rPr>
                <w:b/>
                <w:lang w:val="en-GB"/>
              </w:rPr>
            </w:pPr>
            <w:r w:rsidRPr="00CE610C">
              <w:rPr>
                <w:b/>
                <w:lang w:val="en-GB"/>
              </w:rPr>
              <w:t>SHACL (Shapes Constraint Language)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E200FA" w14:textId="77777777" w:rsidR="004105E9" w:rsidRPr="00CE610C" w:rsidRDefault="004105E9" w:rsidP="004105E9">
            <w:pPr>
              <w:rPr>
                <w:lang w:val="en-GB"/>
              </w:rPr>
            </w:pPr>
            <w:r w:rsidRPr="00CE610C">
              <w:rPr>
                <w:lang w:val="en-GB"/>
              </w:rPr>
              <w:t>A language for validating the structure of RDF data. Used in data spaces to ensure that shared data conform to predefined ontologies.</w:t>
            </w:r>
          </w:p>
        </w:tc>
      </w:tr>
      <w:tr w:rsidR="004105E9" w:rsidRPr="00CE610C" w14:paraId="24AA3815" w14:textId="77777777" w:rsidTr="004105E9">
        <w:trPr>
          <w:trHeight w:val="1355"/>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0A48B9" w14:textId="77777777" w:rsidR="004105E9" w:rsidRPr="00CE610C" w:rsidRDefault="004105E9" w:rsidP="004105E9">
            <w:pPr>
              <w:rPr>
                <w:b/>
                <w:lang w:val="en-GB"/>
              </w:rPr>
            </w:pPr>
            <w:r w:rsidRPr="00CE610C">
              <w:rPr>
                <w:b/>
                <w:lang w:val="en-GB"/>
              </w:rPr>
              <w:t>SIEM tools (Security Information and Event Management)</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694C72F" w14:textId="77777777" w:rsidR="004105E9" w:rsidRPr="00CE610C" w:rsidRDefault="004105E9" w:rsidP="004105E9">
            <w:pPr>
              <w:rPr>
                <w:lang w:val="en-GB"/>
              </w:rPr>
            </w:pPr>
            <w:r w:rsidRPr="00CE610C">
              <w:rPr>
                <w:lang w:val="en-GB"/>
              </w:rPr>
              <w:t>Tools for monitoring, analyzing, and correlating security events in real time. In data spaces, they help detect threats (e.g., unauthorized access) and ensure compliance with security standards such as NIS2.</w:t>
            </w:r>
          </w:p>
        </w:tc>
      </w:tr>
      <w:tr w:rsidR="004105E9" w:rsidRPr="00CE610C" w14:paraId="604B2145" w14:textId="77777777" w:rsidTr="004105E9">
        <w:trPr>
          <w:trHeight w:val="606"/>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1364796" w14:textId="77777777" w:rsidR="004105E9" w:rsidRPr="00CE610C" w:rsidRDefault="004105E9" w:rsidP="004105E9">
            <w:pPr>
              <w:rPr>
                <w:b/>
                <w:lang w:val="en-GB"/>
              </w:rPr>
            </w:pPr>
            <w:r w:rsidRPr="00CE610C">
              <w:rPr>
                <w:b/>
                <w:lang w:val="en-GB"/>
              </w:rPr>
              <w:t>SPARQL</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6503B0" w14:textId="77777777" w:rsidR="004105E9" w:rsidRPr="00CE610C" w:rsidRDefault="004105E9" w:rsidP="004105E9">
            <w:pPr>
              <w:rPr>
                <w:lang w:val="en-GB"/>
              </w:rPr>
            </w:pPr>
            <w:r w:rsidRPr="00CE610C">
              <w:rPr>
                <w:lang w:val="en-GB"/>
              </w:rPr>
              <w:t>A query language for retrieving and manipulating data stored in RDF format.</w:t>
            </w:r>
          </w:p>
        </w:tc>
      </w:tr>
      <w:tr w:rsidR="004105E9" w:rsidRPr="00CE610C" w14:paraId="4BC7A6EF" w14:textId="77777777" w:rsidTr="004105E9">
        <w:trPr>
          <w:trHeight w:val="1070"/>
        </w:trPr>
        <w:tc>
          <w:tcPr>
            <w:tcW w:w="282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4845F5" w14:textId="77777777" w:rsidR="004105E9" w:rsidRPr="00CE610C" w:rsidRDefault="004105E9" w:rsidP="004105E9">
            <w:pPr>
              <w:rPr>
                <w:b/>
                <w:lang w:val="en-GB"/>
              </w:rPr>
            </w:pPr>
            <w:r w:rsidRPr="00CE610C">
              <w:rPr>
                <w:b/>
                <w:lang w:val="en-GB"/>
              </w:rPr>
              <w:t>XML (eXtensible Markup Language)</w:t>
            </w:r>
          </w:p>
        </w:tc>
        <w:tc>
          <w:tcPr>
            <w:tcW w:w="620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8B0A571" w14:textId="77777777" w:rsidR="004105E9" w:rsidRPr="00CE610C" w:rsidRDefault="004105E9" w:rsidP="004105E9">
            <w:pPr>
              <w:rPr>
                <w:lang w:val="en-GB"/>
              </w:rPr>
            </w:pPr>
            <w:r w:rsidRPr="00CE610C">
              <w:rPr>
                <w:lang w:val="en-GB"/>
              </w:rPr>
              <w:t>A structured markup language for encoding data for exchange. Widely used in public administration and data integration.</w:t>
            </w:r>
          </w:p>
        </w:tc>
      </w:tr>
    </w:tbl>
    <w:p w14:paraId="5977CDCE" w14:textId="77777777" w:rsidR="004105E9" w:rsidRPr="00CE610C" w:rsidRDefault="004105E9" w:rsidP="004105E9">
      <w:pPr>
        <w:rPr>
          <w:lang w:val="en-GB"/>
        </w:rPr>
      </w:pPr>
    </w:p>
    <w:sectPr w:rsidR="004105E9" w:rsidRPr="00CE61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DAF0" w14:textId="77777777" w:rsidR="004105E9" w:rsidRDefault="004105E9" w:rsidP="004105E9">
      <w:pPr>
        <w:spacing w:after="0" w:line="240" w:lineRule="auto"/>
      </w:pPr>
      <w:r>
        <w:separator/>
      </w:r>
    </w:p>
  </w:endnote>
  <w:endnote w:type="continuationSeparator" w:id="0">
    <w:p w14:paraId="1116A618" w14:textId="77777777" w:rsidR="004105E9" w:rsidRDefault="004105E9" w:rsidP="0041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49B0" w14:textId="77777777" w:rsidR="00C53E21" w:rsidRDefault="00C53E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38576"/>
      <w:docPartObj>
        <w:docPartGallery w:val="Page Numbers (Bottom of Page)"/>
        <w:docPartUnique/>
      </w:docPartObj>
    </w:sdtPr>
    <w:sdtEndPr/>
    <w:sdtContent>
      <w:p w14:paraId="6B87C64D" w14:textId="77777777" w:rsidR="00C53E21" w:rsidRDefault="00C53E21" w:rsidP="00C53E21">
        <w:pPr>
          <w:pStyle w:val="Zpat"/>
          <w:jc w:val="right"/>
        </w:pPr>
        <w:r>
          <w:fldChar w:fldCharType="begin"/>
        </w:r>
        <w:r>
          <w:instrText>PAGE   \* MERGEFORMAT</w:instrText>
        </w:r>
        <w:r>
          <w:fldChar w:fldCharType="separate"/>
        </w:r>
        <w:r>
          <w:t>13</w:t>
        </w:r>
        <w:r>
          <w:fldChar w:fldCharType="end"/>
        </w:r>
        <w:r>
          <w:t>/</w:t>
        </w:r>
        <w:fldSimple w:instr=" NUMPAGES  \* Arabic  \* MERGEFORMAT ">
          <w:r>
            <w:t>17</w:t>
          </w:r>
        </w:fldSimple>
      </w:p>
    </w:sdtContent>
  </w:sdt>
  <w:p w14:paraId="7CF7922A" w14:textId="77777777" w:rsidR="00C53E21" w:rsidRDefault="00C53E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37E8" w14:textId="77777777" w:rsidR="00C53E21" w:rsidRDefault="00C53E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1E821" w14:textId="77777777" w:rsidR="004105E9" w:rsidRDefault="004105E9" w:rsidP="004105E9">
      <w:pPr>
        <w:spacing w:after="0" w:line="240" w:lineRule="auto"/>
      </w:pPr>
      <w:r>
        <w:separator/>
      </w:r>
    </w:p>
  </w:footnote>
  <w:footnote w:type="continuationSeparator" w:id="0">
    <w:p w14:paraId="76B770EA" w14:textId="77777777" w:rsidR="004105E9" w:rsidRDefault="004105E9" w:rsidP="00410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51E1" w14:textId="77777777" w:rsidR="00C53E21" w:rsidRDefault="00C53E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8A8F" w14:textId="52A4923E" w:rsidR="004105E9" w:rsidRDefault="004105E9">
    <w:pPr>
      <w:pStyle w:val="Zhlav"/>
    </w:pPr>
    <w:r>
      <w:t>Annex 1 – TECHNICAL SPECIFICATION</w:t>
    </w:r>
    <w:r w:rsidR="00E862E9">
      <w:t xml:space="preserve"> 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12DF" w14:textId="77777777" w:rsidR="00C53E21" w:rsidRDefault="00C53E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F72"/>
    <w:multiLevelType w:val="multilevel"/>
    <w:tmpl w:val="DB806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5C42FD"/>
    <w:multiLevelType w:val="multilevel"/>
    <w:tmpl w:val="31B2E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B67A39"/>
    <w:multiLevelType w:val="multilevel"/>
    <w:tmpl w:val="78A6F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C14506"/>
    <w:multiLevelType w:val="multilevel"/>
    <w:tmpl w:val="5F9C6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8A2568F"/>
    <w:multiLevelType w:val="multilevel"/>
    <w:tmpl w:val="F91AD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03E3B"/>
    <w:multiLevelType w:val="multilevel"/>
    <w:tmpl w:val="31B8B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9C7904"/>
    <w:multiLevelType w:val="multilevel"/>
    <w:tmpl w:val="E2B4985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47425"/>
    <w:multiLevelType w:val="multilevel"/>
    <w:tmpl w:val="F73C6DF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B4BB0"/>
    <w:multiLevelType w:val="multilevel"/>
    <w:tmpl w:val="A7E6A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557FE1"/>
    <w:multiLevelType w:val="multilevel"/>
    <w:tmpl w:val="66040A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5A3CCD"/>
    <w:multiLevelType w:val="multilevel"/>
    <w:tmpl w:val="A4AC05AE"/>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91B27"/>
    <w:multiLevelType w:val="multilevel"/>
    <w:tmpl w:val="DC7E62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5052E3"/>
    <w:multiLevelType w:val="multilevel"/>
    <w:tmpl w:val="199CC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E952AFD"/>
    <w:multiLevelType w:val="multilevel"/>
    <w:tmpl w:val="F45CF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FE22DA"/>
    <w:multiLevelType w:val="multilevel"/>
    <w:tmpl w:val="98C8B51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3312FA"/>
    <w:multiLevelType w:val="multilevel"/>
    <w:tmpl w:val="48F2C98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4F94FE4"/>
    <w:multiLevelType w:val="multilevel"/>
    <w:tmpl w:val="245E8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99345F"/>
    <w:multiLevelType w:val="multilevel"/>
    <w:tmpl w:val="BFD617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31451"/>
    <w:multiLevelType w:val="multilevel"/>
    <w:tmpl w:val="403A473A"/>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E34F2F"/>
    <w:multiLevelType w:val="multilevel"/>
    <w:tmpl w:val="F0105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98E54E5"/>
    <w:multiLevelType w:val="multilevel"/>
    <w:tmpl w:val="513CED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B650CA1"/>
    <w:multiLevelType w:val="multilevel"/>
    <w:tmpl w:val="608C352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FC5EFA"/>
    <w:multiLevelType w:val="multilevel"/>
    <w:tmpl w:val="CC961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C3D114A"/>
    <w:multiLevelType w:val="multilevel"/>
    <w:tmpl w:val="DD603F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C4B21C8"/>
    <w:multiLevelType w:val="multilevel"/>
    <w:tmpl w:val="4E322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7844083">
    <w:abstractNumId w:val="13"/>
  </w:num>
  <w:num w:numId="2" w16cid:durableId="392316993">
    <w:abstractNumId w:val="16"/>
  </w:num>
  <w:num w:numId="3" w16cid:durableId="1716738301">
    <w:abstractNumId w:val="11"/>
  </w:num>
  <w:num w:numId="4" w16cid:durableId="923800844">
    <w:abstractNumId w:val="5"/>
  </w:num>
  <w:num w:numId="5" w16cid:durableId="235432332">
    <w:abstractNumId w:val="8"/>
  </w:num>
  <w:num w:numId="6" w16cid:durableId="1570383580">
    <w:abstractNumId w:val="22"/>
  </w:num>
  <w:num w:numId="7" w16cid:durableId="1678461060">
    <w:abstractNumId w:val="24"/>
  </w:num>
  <w:num w:numId="8" w16cid:durableId="1943292524">
    <w:abstractNumId w:val="1"/>
  </w:num>
  <w:num w:numId="9" w16cid:durableId="832139560">
    <w:abstractNumId w:val="0"/>
  </w:num>
  <w:num w:numId="10" w16cid:durableId="465205280">
    <w:abstractNumId w:val="9"/>
  </w:num>
  <w:num w:numId="11" w16cid:durableId="284428177">
    <w:abstractNumId w:val="15"/>
  </w:num>
  <w:num w:numId="12" w16cid:durableId="1956478964">
    <w:abstractNumId w:val="19"/>
  </w:num>
  <w:num w:numId="13" w16cid:durableId="1669792638">
    <w:abstractNumId w:val="18"/>
  </w:num>
  <w:num w:numId="14" w16cid:durableId="962034485">
    <w:abstractNumId w:val="20"/>
  </w:num>
  <w:num w:numId="15" w16cid:durableId="1914462134">
    <w:abstractNumId w:val="6"/>
  </w:num>
  <w:num w:numId="16" w16cid:durableId="222496400">
    <w:abstractNumId w:val="23"/>
  </w:num>
  <w:num w:numId="17" w16cid:durableId="297033074">
    <w:abstractNumId w:val="3"/>
  </w:num>
  <w:num w:numId="18" w16cid:durableId="49426115">
    <w:abstractNumId w:val="12"/>
  </w:num>
  <w:num w:numId="19" w16cid:durableId="759956337">
    <w:abstractNumId w:val="17"/>
  </w:num>
  <w:num w:numId="20" w16cid:durableId="554242267">
    <w:abstractNumId w:val="7"/>
  </w:num>
  <w:num w:numId="21" w16cid:durableId="809639335">
    <w:abstractNumId w:val="21"/>
  </w:num>
  <w:num w:numId="22" w16cid:durableId="738989439">
    <w:abstractNumId w:val="14"/>
  </w:num>
  <w:num w:numId="23" w16cid:durableId="1409958940">
    <w:abstractNumId w:val="10"/>
  </w:num>
  <w:num w:numId="24" w16cid:durableId="1714453619">
    <w:abstractNumId w:val="2"/>
  </w:num>
  <w:num w:numId="25" w16cid:durableId="22436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F8"/>
    <w:rsid w:val="00011321"/>
    <w:rsid w:val="001C3CE3"/>
    <w:rsid w:val="003F6D2F"/>
    <w:rsid w:val="004105E9"/>
    <w:rsid w:val="004B70E7"/>
    <w:rsid w:val="004E3BC2"/>
    <w:rsid w:val="004F404F"/>
    <w:rsid w:val="0069320D"/>
    <w:rsid w:val="006E0BD7"/>
    <w:rsid w:val="00904697"/>
    <w:rsid w:val="00A44AF8"/>
    <w:rsid w:val="00AA4591"/>
    <w:rsid w:val="00B16C21"/>
    <w:rsid w:val="00C53E21"/>
    <w:rsid w:val="00CE610C"/>
    <w:rsid w:val="00E11352"/>
    <w:rsid w:val="00E862E9"/>
    <w:rsid w:val="00E86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0E70C"/>
  <w15:docId w15:val="{729E3C86-8ABB-45CA-ABB0-6BDC9F91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s" w:eastAsia="cs-CZ"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360" w:after="80"/>
      <w:outlineLvl w:val="0"/>
    </w:pPr>
    <w:rPr>
      <w:color w:val="2F5496"/>
      <w:sz w:val="40"/>
      <w:szCs w:val="40"/>
    </w:rPr>
  </w:style>
  <w:style w:type="paragraph" w:styleId="Nadpis2">
    <w:name w:val="heading 2"/>
    <w:basedOn w:val="Normln"/>
    <w:next w:val="Normln"/>
    <w:uiPriority w:val="9"/>
    <w:unhideWhenUsed/>
    <w:qFormat/>
    <w:pPr>
      <w:keepNext/>
      <w:keepLines/>
      <w:spacing w:before="160" w:after="80"/>
      <w:outlineLvl w:val="1"/>
    </w:pPr>
    <w:rPr>
      <w:color w:val="2F5496"/>
      <w:sz w:val="32"/>
      <w:szCs w:val="32"/>
    </w:rPr>
  </w:style>
  <w:style w:type="paragraph" w:styleId="Nadpis3">
    <w:name w:val="heading 3"/>
    <w:basedOn w:val="Normln"/>
    <w:next w:val="Normln"/>
    <w:uiPriority w:val="9"/>
    <w:unhideWhenUsed/>
    <w:qFormat/>
    <w:pPr>
      <w:keepNext/>
      <w:keepLines/>
      <w:spacing w:before="160" w:after="80"/>
      <w:outlineLvl w:val="2"/>
    </w:pPr>
    <w:rPr>
      <w:color w:val="2F5496"/>
      <w:sz w:val="28"/>
      <w:szCs w:val="28"/>
    </w:rPr>
  </w:style>
  <w:style w:type="paragraph" w:styleId="Nadpis4">
    <w:name w:val="heading 4"/>
    <w:basedOn w:val="Normln"/>
    <w:next w:val="Normln"/>
    <w:uiPriority w:val="9"/>
    <w:unhideWhenUsed/>
    <w:qFormat/>
    <w:pPr>
      <w:keepNext/>
      <w:keepLines/>
      <w:spacing w:before="80" w:after="40"/>
      <w:outlineLvl w:val="3"/>
    </w:pPr>
    <w:rPr>
      <w:i/>
      <w:color w:val="2F5496"/>
    </w:rPr>
  </w:style>
  <w:style w:type="paragraph" w:styleId="Nadpis5">
    <w:name w:val="heading 5"/>
    <w:basedOn w:val="Normln"/>
    <w:next w:val="Normln"/>
    <w:uiPriority w:val="9"/>
    <w:unhideWhenUsed/>
    <w:qFormat/>
    <w:pPr>
      <w:keepNext/>
      <w:keepLines/>
      <w:spacing w:before="80" w:after="40"/>
      <w:outlineLvl w:val="4"/>
    </w:pPr>
    <w:rPr>
      <w:color w:val="2F5496"/>
    </w:rPr>
  </w:style>
  <w:style w:type="paragraph" w:styleId="Nadpis6">
    <w:name w:val="heading 6"/>
    <w:basedOn w:val="Normln"/>
    <w:next w:val="Normln"/>
    <w:uiPriority w:val="9"/>
    <w:unhideWhenUsed/>
    <w:qFormat/>
    <w:pPr>
      <w:keepNext/>
      <w:keepLines/>
      <w:spacing w:before="40" w:after="0"/>
      <w:outlineLvl w:val="5"/>
    </w:pPr>
    <w:rPr>
      <w:i/>
      <w:color w:val="595959"/>
    </w:rPr>
  </w:style>
  <w:style w:type="paragraph" w:styleId="Nadpis7">
    <w:name w:val="heading 7"/>
    <w:link w:val="Nadpis7Char"/>
    <w:uiPriority w:val="9"/>
    <w:semiHidden/>
    <w:unhideWhenUsed/>
    <w:qFormat/>
    <w:rsid w:val="007C759D"/>
    <w:pPr>
      <w:keepNext/>
      <w:keepLines/>
      <w:spacing w:before="40" w:after="0"/>
      <w:outlineLvl w:val="6"/>
    </w:pPr>
    <w:rPr>
      <w:rFonts w:eastAsiaTheme="majorEastAsia" w:cstheme="majorBidi"/>
      <w:color w:val="595959" w:themeColor="text1" w:themeTint="A6"/>
    </w:rPr>
  </w:style>
  <w:style w:type="paragraph" w:styleId="Nadpis8">
    <w:name w:val="heading 8"/>
    <w:link w:val="Nadpis8Char"/>
    <w:uiPriority w:val="9"/>
    <w:semiHidden/>
    <w:unhideWhenUsed/>
    <w:qFormat/>
    <w:rsid w:val="007C759D"/>
    <w:pPr>
      <w:keepNext/>
      <w:keepLines/>
      <w:spacing w:after="0"/>
      <w:outlineLvl w:val="7"/>
    </w:pPr>
    <w:rPr>
      <w:rFonts w:eastAsiaTheme="majorEastAsia" w:cstheme="majorBidi"/>
      <w:i/>
      <w:iCs/>
      <w:color w:val="272727" w:themeColor="text1" w:themeTint="D8"/>
    </w:rPr>
  </w:style>
  <w:style w:type="paragraph" w:styleId="Nadpis9">
    <w:name w:val="heading 9"/>
    <w:link w:val="Nadpis9Char"/>
    <w:uiPriority w:val="9"/>
    <w:semiHidden/>
    <w:unhideWhenUsed/>
    <w:qFormat/>
    <w:rsid w:val="007C75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spacing w:after="80" w:line="240" w:lineRule="auto"/>
    </w:pPr>
    <w:rPr>
      <w:sz w:val="56"/>
      <w:szCs w:val="56"/>
    </w:rPr>
  </w:style>
  <w:style w:type="character" w:customStyle="1" w:styleId="Nadpis1Char">
    <w:name w:val="Nadpis 1 Char"/>
    <w:basedOn w:val="Standardnpsmoodstavce"/>
    <w:uiPriority w:val="9"/>
    <w:rsid w:val="007C75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uiPriority w:val="9"/>
    <w:rsid w:val="007C75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uiPriority w:val="9"/>
    <w:rsid w:val="007C759D"/>
    <w:rPr>
      <w:rFonts w:eastAsiaTheme="majorEastAsia" w:cstheme="majorBidi"/>
      <w:color w:val="2F5496" w:themeColor="accent1" w:themeShade="BF"/>
      <w:sz w:val="28"/>
      <w:szCs w:val="28"/>
    </w:rPr>
  </w:style>
  <w:style w:type="character" w:customStyle="1" w:styleId="Nadpis4Char">
    <w:name w:val="Nadpis 4 Char"/>
    <w:basedOn w:val="Standardnpsmoodstavce"/>
    <w:uiPriority w:val="9"/>
    <w:rsid w:val="007C759D"/>
    <w:rPr>
      <w:rFonts w:eastAsiaTheme="majorEastAsia" w:cstheme="majorBidi"/>
      <w:i/>
      <w:iCs/>
      <w:color w:val="2F5496" w:themeColor="accent1" w:themeShade="BF"/>
    </w:rPr>
  </w:style>
  <w:style w:type="character" w:customStyle="1" w:styleId="Nadpis5Char">
    <w:name w:val="Nadpis 5 Char"/>
    <w:basedOn w:val="Standardnpsmoodstavce"/>
    <w:uiPriority w:val="9"/>
    <w:semiHidden/>
    <w:rsid w:val="007C759D"/>
    <w:rPr>
      <w:rFonts w:eastAsiaTheme="majorEastAsia" w:cstheme="majorBidi"/>
      <w:color w:val="2F5496" w:themeColor="accent1" w:themeShade="BF"/>
    </w:rPr>
  </w:style>
  <w:style w:type="character" w:customStyle="1" w:styleId="Nadpis6Char">
    <w:name w:val="Nadpis 6 Char"/>
    <w:basedOn w:val="Standardnpsmoodstavce"/>
    <w:uiPriority w:val="9"/>
    <w:semiHidden/>
    <w:rsid w:val="007C75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75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75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759D"/>
    <w:rPr>
      <w:rFonts w:eastAsiaTheme="majorEastAsia" w:cstheme="majorBidi"/>
      <w:color w:val="272727" w:themeColor="text1" w:themeTint="D8"/>
    </w:rPr>
  </w:style>
  <w:style w:type="character" w:customStyle="1" w:styleId="NzevChar">
    <w:name w:val="Název Char"/>
    <w:basedOn w:val="Standardnpsmoodstavce"/>
    <w:uiPriority w:val="10"/>
    <w:rsid w:val="007C759D"/>
    <w:rPr>
      <w:rFonts w:asciiTheme="majorHAnsi" w:eastAsiaTheme="majorEastAsia" w:hAnsiTheme="majorHAnsi" w:cstheme="majorBidi"/>
      <w:spacing w:val="-10"/>
      <w:kern w:val="28"/>
      <w:sz w:val="56"/>
      <w:szCs w:val="56"/>
    </w:rPr>
  </w:style>
  <w:style w:type="character" w:customStyle="1" w:styleId="PodnadpisChar">
    <w:name w:val="Podnadpis Char"/>
    <w:basedOn w:val="Standardnpsmoodstavce"/>
    <w:uiPriority w:val="11"/>
    <w:rsid w:val="007C759D"/>
    <w:rPr>
      <w:rFonts w:eastAsiaTheme="majorEastAsia" w:cstheme="majorBidi"/>
      <w:color w:val="595959" w:themeColor="text1" w:themeTint="A6"/>
      <w:spacing w:val="15"/>
      <w:sz w:val="28"/>
      <w:szCs w:val="28"/>
    </w:rPr>
  </w:style>
  <w:style w:type="paragraph" w:styleId="Citt">
    <w:name w:val="Quote"/>
    <w:link w:val="CittChar"/>
    <w:uiPriority w:val="29"/>
    <w:qFormat/>
    <w:rsid w:val="007C759D"/>
    <w:pPr>
      <w:spacing w:before="160"/>
      <w:jc w:val="center"/>
    </w:pPr>
    <w:rPr>
      <w:i/>
      <w:iCs/>
      <w:color w:val="404040" w:themeColor="text1" w:themeTint="BF"/>
    </w:rPr>
  </w:style>
  <w:style w:type="character" w:customStyle="1" w:styleId="CittChar">
    <w:name w:val="Citát Char"/>
    <w:basedOn w:val="Standardnpsmoodstavce"/>
    <w:link w:val="Citt"/>
    <w:uiPriority w:val="29"/>
    <w:rsid w:val="007C759D"/>
    <w:rPr>
      <w:i/>
      <w:iCs/>
      <w:color w:val="404040" w:themeColor="text1" w:themeTint="BF"/>
    </w:rPr>
  </w:style>
  <w:style w:type="paragraph" w:styleId="Odstavecseseznamem">
    <w:name w:val="List Paragraph"/>
    <w:uiPriority w:val="34"/>
    <w:qFormat/>
    <w:rsid w:val="007C759D"/>
    <w:pPr>
      <w:ind w:left="720"/>
      <w:contextualSpacing/>
    </w:pPr>
  </w:style>
  <w:style w:type="character" w:styleId="Zdraznnintenzivn">
    <w:name w:val="Intense Emphasis"/>
    <w:basedOn w:val="Standardnpsmoodstavce"/>
    <w:uiPriority w:val="21"/>
    <w:qFormat/>
    <w:rsid w:val="007C759D"/>
    <w:rPr>
      <w:i/>
      <w:iCs/>
      <w:color w:val="2F5496" w:themeColor="accent1" w:themeShade="BF"/>
    </w:rPr>
  </w:style>
  <w:style w:type="paragraph" w:styleId="Vrazncitt">
    <w:name w:val="Intense Quote"/>
    <w:link w:val="VrazncittChar"/>
    <w:uiPriority w:val="30"/>
    <w:qFormat/>
    <w:rsid w:val="007C7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C759D"/>
    <w:rPr>
      <w:i/>
      <w:iCs/>
      <w:color w:val="2F5496" w:themeColor="accent1" w:themeShade="BF"/>
    </w:rPr>
  </w:style>
  <w:style w:type="character" w:styleId="Odkazintenzivn">
    <w:name w:val="Intense Reference"/>
    <w:basedOn w:val="Standardnpsmoodstavce"/>
    <w:uiPriority w:val="32"/>
    <w:qFormat/>
    <w:rsid w:val="007C759D"/>
    <w:rPr>
      <w:b/>
      <w:bCs/>
      <w:smallCaps/>
      <w:color w:val="2F5496" w:themeColor="accent1" w:themeShade="BF"/>
      <w:spacing w:val="5"/>
    </w:rPr>
  </w:style>
  <w:style w:type="paragraph" w:styleId="Normlnweb">
    <w:name w:val="Normal (Web)"/>
    <w:uiPriority w:val="99"/>
    <w:semiHidden/>
    <w:unhideWhenUsed/>
    <w:rsid w:val="00F564C3"/>
    <w:pPr>
      <w:spacing w:before="100" w:beforeAutospacing="1" w:after="100" w:afterAutospacing="1" w:line="240" w:lineRule="auto"/>
    </w:pPr>
    <w:rPr>
      <w:rFonts w:ascii="Times New Roman" w:eastAsia="Times New Roman" w:hAnsi="Times New Roman" w:cs="Times New Roman"/>
    </w:rPr>
  </w:style>
  <w:style w:type="character" w:styleId="Siln">
    <w:name w:val="Strong"/>
    <w:basedOn w:val="Standardnpsmoodstavce"/>
    <w:uiPriority w:val="22"/>
    <w:qFormat/>
    <w:rsid w:val="00F564C3"/>
    <w:rPr>
      <w:b/>
      <w:bCs/>
    </w:rPr>
  </w:style>
  <w:style w:type="paragraph" w:styleId="Revize">
    <w:name w:val="Revision"/>
    <w:hidden/>
    <w:uiPriority w:val="99"/>
    <w:semiHidden/>
    <w:rsid w:val="00B61D0F"/>
    <w:pPr>
      <w:spacing w:after="0" w:line="240" w:lineRule="auto"/>
    </w:pPr>
  </w:style>
  <w:style w:type="character" w:styleId="Odkaznakoment">
    <w:name w:val="annotation reference"/>
    <w:basedOn w:val="Standardnpsmoodstavce"/>
    <w:uiPriority w:val="99"/>
    <w:semiHidden/>
    <w:unhideWhenUsed/>
    <w:rsid w:val="00D80CA3"/>
    <w:rPr>
      <w:sz w:val="16"/>
      <w:szCs w:val="16"/>
    </w:rPr>
  </w:style>
  <w:style w:type="paragraph" w:styleId="Textkomente">
    <w:name w:val="annotation text"/>
    <w:link w:val="TextkomenteChar"/>
    <w:uiPriority w:val="99"/>
    <w:semiHidden/>
    <w:unhideWhenUsed/>
    <w:rsid w:val="00D80CA3"/>
    <w:pPr>
      <w:spacing w:line="240" w:lineRule="auto"/>
    </w:pPr>
    <w:rPr>
      <w:sz w:val="20"/>
      <w:szCs w:val="20"/>
    </w:rPr>
  </w:style>
  <w:style w:type="character" w:customStyle="1" w:styleId="TextkomenteChar">
    <w:name w:val="Text komentáře Char"/>
    <w:basedOn w:val="Standardnpsmoodstavce"/>
    <w:link w:val="Textkomente"/>
    <w:uiPriority w:val="99"/>
    <w:semiHidden/>
    <w:rsid w:val="00D80CA3"/>
    <w:rPr>
      <w:sz w:val="20"/>
      <w:szCs w:val="20"/>
    </w:rPr>
  </w:style>
  <w:style w:type="paragraph" w:styleId="Pedmtkomente">
    <w:name w:val="annotation subject"/>
    <w:basedOn w:val="Textkomente"/>
    <w:next w:val="Textkomente"/>
    <w:link w:val="PedmtkomenteChar"/>
    <w:uiPriority w:val="99"/>
    <w:semiHidden/>
    <w:unhideWhenUsed/>
    <w:rsid w:val="00D80CA3"/>
    <w:rPr>
      <w:b/>
      <w:bCs/>
    </w:rPr>
  </w:style>
  <w:style w:type="character" w:customStyle="1" w:styleId="PedmtkomenteChar">
    <w:name w:val="Předmět komentáře Char"/>
    <w:basedOn w:val="TextkomenteChar"/>
    <w:link w:val="Pedmtkomente"/>
    <w:uiPriority w:val="99"/>
    <w:semiHidden/>
    <w:rsid w:val="00D80CA3"/>
    <w:rPr>
      <w:b/>
      <w:bCs/>
      <w:sz w:val="20"/>
      <w:szCs w:val="20"/>
    </w:rPr>
  </w:style>
  <w:style w:type="paragraph" w:styleId="Zhlav">
    <w:name w:val="header"/>
    <w:link w:val="ZhlavChar"/>
    <w:uiPriority w:val="99"/>
    <w:unhideWhenUsed/>
    <w:rsid w:val="007558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875"/>
  </w:style>
  <w:style w:type="paragraph" w:styleId="Zpat">
    <w:name w:val="footer"/>
    <w:link w:val="ZpatChar"/>
    <w:uiPriority w:val="99"/>
    <w:unhideWhenUsed/>
    <w:rsid w:val="00755875"/>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875"/>
  </w:style>
  <w:style w:type="paragraph" w:styleId="Podnadpis">
    <w:name w:val="Subtitle"/>
    <w:basedOn w:val="Normln"/>
    <w:next w:val="Normln"/>
    <w:uiPriority w:val="11"/>
    <w:qFormat/>
    <w:rPr>
      <w:color w:val="595959"/>
      <w:sz w:val="28"/>
      <w:szCs w:val="2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199">
      <w:bodyDiv w:val="1"/>
      <w:marLeft w:val="0"/>
      <w:marRight w:val="0"/>
      <w:marTop w:val="0"/>
      <w:marBottom w:val="0"/>
      <w:divBdr>
        <w:top w:val="none" w:sz="0" w:space="0" w:color="auto"/>
        <w:left w:val="none" w:sz="0" w:space="0" w:color="auto"/>
        <w:bottom w:val="none" w:sz="0" w:space="0" w:color="auto"/>
        <w:right w:val="none" w:sz="0" w:space="0" w:color="auto"/>
      </w:divBdr>
    </w:div>
    <w:div w:id="306280137">
      <w:bodyDiv w:val="1"/>
      <w:marLeft w:val="0"/>
      <w:marRight w:val="0"/>
      <w:marTop w:val="0"/>
      <w:marBottom w:val="0"/>
      <w:divBdr>
        <w:top w:val="none" w:sz="0" w:space="0" w:color="auto"/>
        <w:left w:val="none" w:sz="0" w:space="0" w:color="auto"/>
        <w:bottom w:val="none" w:sz="0" w:space="0" w:color="auto"/>
        <w:right w:val="none" w:sz="0" w:space="0" w:color="auto"/>
      </w:divBdr>
    </w:div>
    <w:div w:id="1637225202">
      <w:bodyDiv w:val="1"/>
      <w:marLeft w:val="0"/>
      <w:marRight w:val="0"/>
      <w:marTop w:val="0"/>
      <w:marBottom w:val="0"/>
      <w:divBdr>
        <w:top w:val="none" w:sz="0" w:space="0" w:color="auto"/>
        <w:left w:val="none" w:sz="0" w:space="0" w:color="auto"/>
        <w:bottom w:val="none" w:sz="0" w:space="0" w:color="auto"/>
        <w:right w:val="none" w:sz="0" w:space="0" w:color="auto"/>
      </w:divBdr>
    </w:div>
    <w:div w:id="211374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72o/nzS7W2tkJsyv8DMAHttBOA==">CgMxLjAyDmguYXg1YjZmc2Q0NGdoMg5oLm10bXQxbm5oMWI4NDIOaC42d3pnZ3pqZHJiaGgyDmgub205bmk0OTFucTVpMg5oLmZkZWF3OTh0cWR6aTIOaC5keTFpYm1kZzF4N3MyDmgubzB1YzJtOWx6MDdwMg5oLnFkNXMycHk0bndiYjIOaC50dDVpdWhyb2k1cngyDmguejFsbTFteWk3MnFoMg5oLmQ4MXUyNDl1am4zdzIOaC5jbGlpeWNrYm1oOTEyDmgucDJ6bDhyaHhid2Z6Mg5oLjhxdTB2dmJyemhjbjIOaC56ZzJta2U5NGk3MXcyDmguYzd3ajhnbnF2aHY0Mg5oLmRtNW5qZ2JkMXg5MTIOaC41OTVoeWgzMXVjbDQ4AGonChRzdWdnZXN0LjZuYTQxdDZ6d3ExcxIPT25kxZllaiBTdGFuxJtraicKFHN1Z2dlc3QuZnM4bmpsNm1odzFmEg9PbmTFmWVqIFN0YW7Em2tqJwoUc3VnZ2VzdC5tdXM3YzZoaWVxczISD09uZMWZZWogU3RhbsSba2onChRzdWdnZXN0LjNoZXR0cWZ5emwzZhIPT25kxZllaiBTdGFuxJtralEKNXN1Z2dlc3RJZEltcG9ydDRlMGU5MGU2LTlkZTMtNGYxZS1hYWRlLWZjZjE3MDVhYWZlNV8yEhhUb2JpYXMgSG9mZXIgIHwgIGVtcHJpdW1qJwoUc3VnZ2VzdC5wNTZibnZ3eDlmdjQSD09uZMWZZWogU3RhbsSba2onChRzdWdnZXN0LmZtbzZxbzJqcHd6ZRIPT25kxZllaiBTdGFuxJtralEKNXN1Z2dlc3RJZEltcG9ydDRlMGU5MGU2LTlkZTMtNGYxZS1hYWRlLWZjZjE3MDVhYWZlNV8xEhhUb2JpYXMgSG9mZXIgIHwgIGVtcHJpdW1yITE5WFMxaXlnemhRc2xWb2ZaMHhQa3hUUm8xZUIwRFdU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4109</Words>
  <Characters>24249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Zeman Jiří Mgr.</dc:creator>
  <cp:lastModifiedBy>Zeman Jiří Mgr.</cp:lastModifiedBy>
  <cp:revision>11</cp:revision>
  <dcterms:created xsi:type="dcterms:W3CDTF">2025-09-03T11:22:00Z</dcterms:created>
  <dcterms:modified xsi:type="dcterms:W3CDTF">2025-10-08T06:28:00Z</dcterms:modified>
</cp:coreProperties>
</file>