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6194280E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853732">
        <w:rPr>
          <w:rFonts w:ascii="Arial" w:hAnsi="Arial" w:cs="Arial"/>
          <w:sz w:val="20"/>
          <w:szCs w:val="20"/>
        </w:rPr>
        <w:t>36525de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423D45F6" w:rsidR="00052D93" w:rsidRPr="005D6C99" w:rsidRDefault="00822C5B" w:rsidP="00605117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853732">
        <w:rPr>
          <w:rFonts w:ascii="Arial" w:hAnsi="Arial" w:cs="Arial"/>
          <w:b/>
          <w:bCs/>
          <w:sz w:val="20"/>
          <w:szCs w:val="20"/>
        </w:rPr>
        <w:t>Most ev. č. 325-012 a Most ev. č. 28447-1 Horní Brusnice</w:t>
      </w:r>
      <w:r w:rsidR="00EF741E">
        <w:rPr>
          <w:rFonts w:ascii="Arial" w:hAnsi="Arial" w:cs="Arial"/>
          <w:b/>
          <w:bCs/>
          <w:sz w:val="20"/>
          <w:szCs w:val="20"/>
        </w:rPr>
        <w:t xml:space="preserve"> </w:t>
      </w:r>
      <w:r w:rsidR="00EF741E" w:rsidRPr="005E6A40">
        <w:rPr>
          <w:rFonts w:ascii="Arial" w:hAnsi="Arial" w:cs="Arial"/>
          <w:b/>
          <w:bCs/>
          <w:sz w:val="20"/>
          <w:szCs w:val="20"/>
        </w:rPr>
        <w:t>(</w:t>
      </w:r>
      <w:r w:rsidR="005E6A40" w:rsidRPr="005E6A40">
        <w:rPr>
          <w:rFonts w:ascii="Arial" w:hAnsi="Arial" w:cs="Arial"/>
          <w:b/>
          <w:bCs/>
          <w:sz w:val="20"/>
          <w:szCs w:val="20"/>
        </w:rPr>
        <w:t>S</w:t>
      </w:r>
      <w:r w:rsidR="00EF741E" w:rsidRPr="005E6A40">
        <w:rPr>
          <w:rFonts w:ascii="Arial" w:hAnsi="Arial" w:cs="Arial"/>
          <w:b/>
          <w:bCs/>
          <w:sz w:val="20"/>
          <w:szCs w:val="20"/>
        </w:rPr>
        <w:t>ekce I.</w:t>
      </w:r>
      <w:r w:rsidR="005E6A40" w:rsidRPr="005E6A40">
        <w:rPr>
          <w:rFonts w:ascii="Arial" w:hAnsi="Arial" w:cs="Arial"/>
          <w:b/>
          <w:bCs/>
          <w:sz w:val="20"/>
          <w:szCs w:val="20"/>
        </w:rPr>
        <w:t xml:space="preserve"> - </w:t>
      </w:r>
      <w:r w:rsidR="00EF741E" w:rsidRPr="005E6A40">
        <w:rPr>
          <w:rFonts w:ascii="Arial" w:hAnsi="Arial" w:cs="Arial"/>
          <w:b/>
          <w:bCs/>
          <w:sz w:val="20"/>
          <w:szCs w:val="20"/>
        </w:rPr>
        <w:t>Most ev. č. 325-012</w:t>
      </w:r>
      <w:proofErr w:type="gramStart"/>
      <w:r w:rsidR="006334A0" w:rsidRPr="005E6A40">
        <w:rPr>
          <w:rFonts w:ascii="Arial" w:hAnsi="Arial" w:cs="Arial"/>
          <w:b/>
          <w:bCs/>
          <w:sz w:val="20"/>
          <w:szCs w:val="20"/>
        </w:rPr>
        <w:t>)</w:t>
      </w:r>
      <w:r w:rsidR="00E01BE2" w:rsidRPr="005E6A40">
        <w:rPr>
          <w:rFonts w:ascii="Arial" w:hAnsi="Arial" w:cs="Arial"/>
          <w:b/>
          <w:bCs/>
          <w:sz w:val="20"/>
          <w:szCs w:val="20"/>
        </w:rPr>
        <w:t>,</w:t>
      </w:r>
      <w:r w:rsidR="006334A0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End"/>
      <w:r w:rsidR="006334A0">
        <w:rPr>
          <w:rFonts w:ascii="Arial" w:hAnsi="Arial" w:cs="Arial"/>
          <w:b/>
          <w:bCs/>
          <w:sz w:val="20"/>
          <w:szCs w:val="20"/>
        </w:rPr>
        <w:t xml:space="preserve">          </w:t>
      </w:r>
      <w:proofErr w:type="gramStart"/>
      <w:r w:rsidR="006334A0">
        <w:rPr>
          <w:rFonts w:ascii="Arial" w:hAnsi="Arial" w:cs="Arial"/>
          <w:b/>
          <w:bCs/>
          <w:sz w:val="20"/>
          <w:szCs w:val="20"/>
        </w:rPr>
        <w:t xml:space="preserve">  </w:t>
      </w:r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(</w:t>
      </w:r>
      <w:proofErr w:type="gramEnd"/>
      <w:r w:rsidR="00052D93">
        <w:rPr>
          <w:rFonts w:ascii="Arial" w:hAnsi="Arial" w:cs="Arial"/>
          <w:sz w:val="20"/>
          <w:szCs w:val="20"/>
        </w:rPr>
        <w:t xml:space="preserve">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387608">
    <w:abstractNumId w:val="8"/>
  </w:num>
  <w:num w:numId="2" w16cid:durableId="1957827136">
    <w:abstractNumId w:val="4"/>
  </w:num>
  <w:num w:numId="3" w16cid:durableId="1561478815">
    <w:abstractNumId w:val="3"/>
  </w:num>
  <w:num w:numId="4" w16cid:durableId="1887445425">
    <w:abstractNumId w:val="7"/>
  </w:num>
  <w:num w:numId="5" w16cid:durableId="1096286361">
    <w:abstractNumId w:val="6"/>
  </w:num>
  <w:num w:numId="6" w16cid:durableId="1795558385">
    <w:abstractNumId w:val="10"/>
  </w:num>
  <w:num w:numId="7" w16cid:durableId="536546332">
    <w:abstractNumId w:val="5"/>
  </w:num>
  <w:num w:numId="8" w16cid:durableId="120804527">
    <w:abstractNumId w:val="1"/>
    <w:lvlOverride w:ilvl="0">
      <w:startOverride w:val="1"/>
    </w:lvlOverride>
  </w:num>
  <w:num w:numId="9" w16cid:durableId="594941253">
    <w:abstractNumId w:val="2"/>
  </w:num>
  <w:num w:numId="10" w16cid:durableId="1232303399">
    <w:abstractNumId w:val="9"/>
  </w:num>
  <w:num w:numId="11" w16cid:durableId="1190991149">
    <w:abstractNumId w:val="0"/>
  </w:num>
  <w:num w:numId="12" w16cid:durableId="325327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37431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E6A40"/>
    <w:rsid w:val="005F3B7F"/>
    <w:rsid w:val="00605117"/>
    <w:rsid w:val="00605ECF"/>
    <w:rsid w:val="006112D9"/>
    <w:rsid w:val="006334A0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5CC8"/>
    <w:rsid w:val="008476FB"/>
    <w:rsid w:val="00853732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74FBC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CF3B3D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BE2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EF741E"/>
    <w:rsid w:val="00F20C57"/>
    <w:rsid w:val="00F22F6A"/>
    <w:rsid w:val="00F2581E"/>
    <w:rsid w:val="00F37CF5"/>
    <w:rsid w:val="00F6763C"/>
    <w:rsid w:val="00FB3CF6"/>
    <w:rsid w:val="00FB5914"/>
    <w:rsid w:val="00FC2E8B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8</cp:revision>
  <cp:lastPrinted>2021-08-12T11:03:00Z</cp:lastPrinted>
  <dcterms:created xsi:type="dcterms:W3CDTF">2025-10-21T09:49:00Z</dcterms:created>
  <dcterms:modified xsi:type="dcterms:W3CDTF">2025-12-12T07:07:00Z</dcterms:modified>
</cp:coreProperties>
</file>