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FC63" w14:textId="3A244747" w:rsidR="0041414A" w:rsidRPr="00B2654F" w:rsidRDefault="00981120" w:rsidP="00B2654F">
      <w:pPr>
        <w:spacing w:after="240" w:line="240" w:lineRule="auto"/>
        <w:jc w:val="center"/>
        <w:rPr>
          <w:b/>
          <w:bCs/>
          <w:sz w:val="28"/>
          <w:szCs w:val="28"/>
        </w:rPr>
      </w:pPr>
      <w:bookmarkStart w:id="0" w:name="_Hlk158122473"/>
      <w:r>
        <w:rPr>
          <w:b/>
          <w:bCs/>
          <w:sz w:val="28"/>
          <w:szCs w:val="28"/>
        </w:rPr>
        <w:t>D</w:t>
      </w:r>
      <w:r w:rsidR="00782DDD" w:rsidRPr="00B2654F">
        <w:rPr>
          <w:b/>
          <w:bCs/>
          <w:sz w:val="28"/>
          <w:szCs w:val="28"/>
        </w:rPr>
        <w:t>odávk</w:t>
      </w:r>
      <w:r>
        <w:rPr>
          <w:b/>
          <w:bCs/>
          <w:sz w:val="28"/>
          <w:szCs w:val="28"/>
        </w:rPr>
        <w:t>a</w:t>
      </w:r>
      <w:r w:rsidR="00782DDD" w:rsidRPr="00B2654F">
        <w:rPr>
          <w:b/>
          <w:bCs/>
          <w:sz w:val="28"/>
          <w:szCs w:val="28"/>
        </w:rPr>
        <w:t xml:space="preserve"> informačního systému</w:t>
      </w:r>
      <w:r w:rsidR="00D90544" w:rsidRPr="00B2654F">
        <w:rPr>
          <w:b/>
          <w:bCs/>
          <w:sz w:val="28"/>
          <w:szCs w:val="28"/>
        </w:rPr>
        <w:t xml:space="preserve"> evidence projektů Královéhradeckého kraje</w:t>
      </w:r>
    </w:p>
    <w:p w14:paraId="46967A94" w14:textId="58D67269" w:rsidR="0013164B" w:rsidRPr="00D90544" w:rsidRDefault="0013164B" w:rsidP="007D1E05">
      <w:pPr>
        <w:jc w:val="both"/>
      </w:pPr>
      <w:r w:rsidRPr="00D90544">
        <w:t xml:space="preserve">Hlavním cílem </w:t>
      </w:r>
      <w:r w:rsidR="00313C57" w:rsidRPr="00D90544">
        <w:t>zadavatele</w:t>
      </w:r>
      <w:r w:rsidRPr="00D90544">
        <w:t xml:space="preserve"> je pořídit a implementovat moderní </w:t>
      </w:r>
      <w:r w:rsidR="00A72206" w:rsidRPr="00D90544">
        <w:t>informační systém</w:t>
      </w:r>
      <w:r w:rsidRPr="00D90544">
        <w:t xml:space="preserve"> evidence projektů Královéhradeckého kraje, který naplní potřeby na</w:t>
      </w:r>
      <w:r w:rsidR="00313C57" w:rsidRPr="00D90544">
        <w:t xml:space="preserve"> evidenci a sledování projektů a jejich jednotlivých akcí</w:t>
      </w:r>
      <w:r w:rsidR="00315AD0" w:rsidRPr="00D90544">
        <w:t xml:space="preserve">, a to </w:t>
      </w:r>
      <w:r w:rsidR="00313C57" w:rsidRPr="00D90544">
        <w:t>od sběru záměrů přes jejich schvalování a realizaci</w:t>
      </w:r>
      <w:r w:rsidR="00315AD0" w:rsidRPr="00D90544">
        <w:t>,</w:t>
      </w:r>
      <w:r w:rsidR="00313C57" w:rsidRPr="00D90544">
        <w:t xml:space="preserve"> včetně přehledu o jednotlivých veřejných zakázkách a aktuálním stavu rozpočtu projekt</w:t>
      </w:r>
      <w:r w:rsidR="00315AD0" w:rsidRPr="00D90544">
        <w:t>ů</w:t>
      </w:r>
      <w:r w:rsidR="00313C57" w:rsidRPr="00D90544">
        <w:t xml:space="preserve"> a jeho čerpání</w:t>
      </w:r>
      <w:r w:rsidR="00E82F16" w:rsidRPr="00D90544">
        <w:t>.</w:t>
      </w:r>
    </w:p>
    <w:p w14:paraId="3B26D0DB" w14:textId="5906EE01" w:rsidR="00A72206" w:rsidRPr="00D90544" w:rsidRDefault="00A72206" w:rsidP="007D1E05">
      <w:pPr>
        <w:jc w:val="both"/>
      </w:pPr>
      <w:r w:rsidRPr="00D90544">
        <w:t>Předmětem plnění je dodávka a implementace informačního systému evidence projektů Královéhradeckého kraje do určeného provozního prostředí v technologickém centru Královéhradeckého kraje</w:t>
      </w:r>
      <w:r w:rsidR="00C50E3C" w:rsidRPr="00D90544">
        <w:t xml:space="preserve"> (TCK </w:t>
      </w:r>
      <w:r w:rsidR="00E82F16" w:rsidRPr="00D90544">
        <w:t>KHK)</w:t>
      </w:r>
      <w:r w:rsidRPr="00D90544">
        <w:t xml:space="preserve">, včetně poskytnutí licencí a dalších souvisejících služeb. </w:t>
      </w:r>
      <w:r w:rsidR="00C50E3C" w:rsidRPr="00D90544">
        <w:t xml:space="preserve">Součástí je i realizace nedílně souvisejících požadavků typu provedení integračních prací, zaškolení, dodání licencí a zpracování dokumentace. </w:t>
      </w:r>
      <w:r w:rsidRPr="00D90544">
        <w:t>Pro zadavatele bude implementováno 1 produkční a 1 školící prostředí.</w:t>
      </w:r>
      <w:r w:rsidR="00871035" w:rsidRPr="00D90544">
        <w:t xml:space="preserve"> Předmětem plnění je dále i poskytování technické podpory a servisu jak po dobu zkušebního provozu do doby řádného předání (akceptace) kompletního díla, tak i v době po jeho předání.</w:t>
      </w:r>
    </w:p>
    <w:p w14:paraId="33CC4738" w14:textId="2D2296BA" w:rsidR="007A1EB6" w:rsidRPr="00B2654F" w:rsidRDefault="007A1EB6" w:rsidP="007D1E05">
      <w:pPr>
        <w:jc w:val="both"/>
        <w:rPr>
          <w:b/>
          <w:bCs/>
          <w:u w:val="single"/>
        </w:rPr>
      </w:pPr>
      <w:r w:rsidRPr="00B2654F">
        <w:rPr>
          <w:b/>
          <w:bCs/>
          <w:u w:val="single"/>
        </w:rPr>
        <w:t>Zadavatel předpokládá plnění díla v následujících etapách:</w:t>
      </w:r>
    </w:p>
    <w:p w14:paraId="22FD2D72" w14:textId="37B3635F" w:rsidR="007A1EB6" w:rsidRPr="00D90544" w:rsidRDefault="007A1EB6" w:rsidP="007D1E05">
      <w:pPr>
        <w:jc w:val="both"/>
      </w:pPr>
      <w:r w:rsidRPr="00D90544">
        <w:t xml:space="preserve">Etapa 1 – </w:t>
      </w:r>
      <w:r w:rsidR="00EB3087" w:rsidRPr="00D90544">
        <w:t>Podrobná a</w:t>
      </w:r>
      <w:r w:rsidRPr="00D90544">
        <w:t>nalýza aktuálního stavu evidence projektů u zadavatele a</w:t>
      </w:r>
      <w:r w:rsidR="00EB3087" w:rsidRPr="00D90544">
        <w:t xml:space="preserve"> upřesnění</w:t>
      </w:r>
      <w:r w:rsidRPr="00D90544">
        <w:t xml:space="preserve"> jeho požadavků na nový informační systém včetně požadavků na </w:t>
      </w:r>
      <w:r w:rsidR="00804966" w:rsidRPr="00D90544">
        <w:t>implementaci</w:t>
      </w:r>
      <w:r w:rsidR="00EB3087" w:rsidRPr="00D90544">
        <w:t xml:space="preserve"> v prostředí zadavatele</w:t>
      </w:r>
      <w:r w:rsidR="00804966" w:rsidRPr="00D90544">
        <w:t xml:space="preserve"> a </w:t>
      </w:r>
      <w:r w:rsidRPr="00D90544">
        <w:t xml:space="preserve">rozsah a způsob realizace integračních vazeb na </w:t>
      </w:r>
      <w:r w:rsidR="00EB3087" w:rsidRPr="00D90544">
        <w:t>relevantní</w:t>
      </w:r>
      <w:r w:rsidRPr="00D90544">
        <w:t xml:space="preserve"> informační systémy provozované zadavatelem</w:t>
      </w:r>
      <w:r w:rsidR="009673E4" w:rsidRPr="00D90544">
        <w:t xml:space="preserve">. </w:t>
      </w:r>
    </w:p>
    <w:p w14:paraId="0E0A8C9E" w14:textId="0D04242B" w:rsidR="007A1EB6" w:rsidRPr="00D90544" w:rsidRDefault="007A1EB6" w:rsidP="007D1E05">
      <w:pPr>
        <w:jc w:val="both"/>
      </w:pPr>
      <w:r w:rsidRPr="00D90544">
        <w:t xml:space="preserve">Etapa 2 </w:t>
      </w:r>
      <w:r w:rsidR="00971066" w:rsidRPr="00D90544">
        <w:t>–</w:t>
      </w:r>
      <w:r w:rsidRPr="00D90544">
        <w:t xml:space="preserve"> </w:t>
      </w:r>
      <w:r w:rsidR="00950D1B" w:rsidRPr="00D90544">
        <w:t>Návrh architektury informačního systému včetně zpracování prováděcí dokumentace</w:t>
      </w:r>
      <w:r w:rsidR="002B25E8">
        <w:t xml:space="preserve"> (implementačního projektu)</w:t>
      </w:r>
      <w:r w:rsidR="00950D1B" w:rsidRPr="00D90544">
        <w:t xml:space="preserve"> pro jeho kompletní </w:t>
      </w:r>
      <w:r w:rsidR="00804966" w:rsidRPr="00D90544">
        <w:t>implementaci v prostředí zadavatele.</w:t>
      </w:r>
    </w:p>
    <w:p w14:paraId="1EAFF2AA" w14:textId="150F32BD" w:rsidR="00804966" w:rsidRPr="00D90544" w:rsidRDefault="00804966" w:rsidP="007D1E05">
      <w:pPr>
        <w:jc w:val="both"/>
      </w:pPr>
      <w:r w:rsidRPr="00D90544">
        <w:t xml:space="preserve">Etapa 3 </w:t>
      </w:r>
      <w:r w:rsidR="00950D1B" w:rsidRPr="00D90544">
        <w:t>–</w:t>
      </w:r>
      <w:r w:rsidRPr="00D90544">
        <w:t xml:space="preserve"> </w:t>
      </w:r>
      <w:r w:rsidR="00950D1B" w:rsidRPr="00D90544">
        <w:t xml:space="preserve">Vývoj a implementace testovací verze informačního systému dle schválené prováděcí dokumentace včetně </w:t>
      </w:r>
      <w:r w:rsidR="00A44006">
        <w:t xml:space="preserve">průběžného </w:t>
      </w:r>
      <w:r w:rsidR="00950D1B" w:rsidRPr="00D90544">
        <w:t>testování</w:t>
      </w:r>
      <w:r w:rsidR="00A44006">
        <w:t>, zapracování upřesňujících požadavků</w:t>
      </w:r>
      <w:r w:rsidR="00950D1B" w:rsidRPr="00D90544">
        <w:t xml:space="preserve"> </w:t>
      </w:r>
      <w:r w:rsidR="001B5F36">
        <w:t xml:space="preserve">z testování </w:t>
      </w:r>
      <w:r w:rsidR="00950D1B" w:rsidRPr="00D90544">
        <w:t>a akceptace funkcionalit.</w:t>
      </w:r>
    </w:p>
    <w:p w14:paraId="2D28F744" w14:textId="4CB9BDBD" w:rsidR="00950D1B" w:rsidRPr="00D90544" w:rsidRDefault="00950D1B" w:rsidP="007D1E05">
      <w:pPr>
        <w:jc w:val="both"/>
      </w:pPr>
      <w:r w:rsidRPr="00D90544">
        <w:t xml:space="preserve">Etapa 4 </w:t>
      </w:r>
      <w:r w:rsidR="000545CE" w:rsidRPr="00D90544">
        <w:t>– Implementace produkčního prostředí informačního systému Na základě schválené testovací verze.</w:t>
      </w:r>
    </w:p>
    <w:p w14:paraId="0CB0D61A" w14:textId="21F15333" w:rsidR="000545CE" w:rsidRPr="00D90544" w:rsidRDefault="000545CE" w:rsidP="007D1E05">
      <w:pPr>
        <w:jc w:val="both"/>
      </w:pPr>
      <w:r w:rsidRPr="00D90544">
        <w:t>Etapa 5 – Zkušební provoz</w:t>
      </w:r>
      <w:r w:rsidR="00A44006">
        <w:t>, zapracování upřesňujících požadavků</w:t>
      </w:r>
      <w:r w:rsidRPr="00D90544">
        <w:t xml:space="preserve"> </w:t>
      </w:r>
      <w:r w:rsidR="001B5F36">
        <w:t xml:space="preserve">ze zkušebního provozu </w:t>
      </w:r>
      <w:r w:rsidRPr="00D90544">
        <w:t>a akceptace díla (provedení akceptačních testů).</w:t>
      </w:r>
    </w:p>
    <w:p w14:paraId="02E3B293" w14:textId="614BE0B6" w:rsidR="000545CE" w:rsidRPr="00B2654F" w:rsidRDefault="00EB3087" w:rsidP="007E780D">
      <w:pPr>
        <w:rPr>
          <w:b/>
          <w:bCs/>
          <w:sz w:val="24"/>
          <w:szCs w:val="24"/>
        </w:rPr>
      </w:pPr>
      <w:r w:rsidRPr="00B2654F">
        <w:rPr>
          <w:b/>
          <w:bCs/>
          <w:sz w:val="24"/>
          <w:szCs w:val="24"/>
        </w:rPr>
        <w:t>Požadavky zadavatele na implementaci v prostředí zadavatele:</w:t>
      </w:r>
    </w:p>
    <w:p w14:paraId="2A09E061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Obecné požadavky zadavatele na implementaci: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364"/>
      </w:tblGrid>
      <w:tr w:rsidR="0090704E" w:rsidRPr="00D90544" w14:paraId="2772D93E" w14:textId="77777777" w:rsidTr="0090704E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BC4D9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0BA912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150504BE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D6BE" w14:textId="201D7098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3234" w14:textId="77777777" w:rsidR="0090704E" w:rsidRPr="00D90544" w:rsidRDefault="0090704E" w:rsidP="007E780D">
            <w:r w:rsidRPr="00D90544">
              <w:t>Zhotovitel bude povinen zajistit, že veškeré vlastnosti díla, včetně jeho update, legislativního update, upgrade a legislativního upgrade budou po celou dobu účinností této smlouvy odpovídat vždy aktuálním obecně platným právním předpisům ČR.</w:t>
            </w:r>
          </w:p>
        </w:tc>
      </w:tr>
      <w:tr w:rsidR="0090704E" w:rsidRPr="00D90544" w14:paraId="2C824290" w14:textId="77777777" w:rsidTr="007E780D">
        <w:trPr>
          <w:trHeight w:val="80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3A225" w14:textId="24752D3E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5D54" w14:textId="77777777" w:rsidR="0090704E" w:rsidRPr="00D90544" w:rsidRDefault="0090704E" w:rsidP="007E780D">
            <w:r w:rsidRPr="00D90544">
              <w:t>Součástí servisní podpory bude i zajištění kompatibility celého řešení s novými verzemi operačních systémů Windows, databázových serverů MSSQL a kancelářských aplikací, a to včetně podpory při migraci na nové servery. V případě požadavku na migraci na nové verze systémů bude dodavatel informován o záměru a dohodnut postup přenosu. Pokud nebude aktuální provozovaná verze aplikace s novými verzemi systémů kompatibilní, zajistí dodavatel kompatibilitu do 6 měsíců od nahlášení požadavku na upgrade systémů.</w:t>
            </w:r>
          </w:p>
        </w:tc>
      </w:tr>
      <w:tr w:rsidR="0090704E" w:rsidRPr="00D90544" w14:paraId="53ECB44A" w14:textId="77777777" w:rsidTr="007E780D">
        <w:trPr>
          <w:trHeight w:val="80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5951" w14:textId="77777777" w:rsidR="0090704E" w:rsidRPr="00D90544" w:rsidRDefault="0090704E" w:rsidP="007E780D">
            <w:pPr>
              <w:jc w:val="center"/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4B72" w14:textId="77777777" w:rsidR="0090704E" w:rsidRPr="00D90544" w:rsidRDefault="0090704E" w:rsidP="007E780D">
            <w:r w:rsidRPr="00D90544">
              <w:t>Součástí implementace jsou veškeré práce a služby nezbytné pro řádné a úplné zprovoznění díla včetně dokumentací a postupů pro správce a uživatele.</w:t>
            </w:r>
          </w:p>
        </w:tc>
      </w:tr>
      <w:tr w:rsidR="0090704E" w:rsidRPr="00D90544" w14:paraId="565DDA33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5459" w14:textId="3E557BF0" w:rsidR="0090704E" w:rsidRPr="00D90544" w:rsidRDefault="007E780D" w:rsidP="007E780D">
            <w:pPr>
              <w:jc w:val="center"/>
            </w:pPr>
            <w: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AF86" w14:textId="77777777" w:rsidR="0090704E" w:rsidRPr="00D90544" w:rsidRDefault="0090704E" w:rsidP="007E780D">
            <w:r w:rsidRPr="00D90544">
              <w:t>Veškerá školení poskytovaná v průběhu implementace (realizační fázi), která jsou součástí jednotlivých častí díla, zajistí zhotovitel na své náklady a v prostorách zadavatele.</w:t>
            </w:r>
          </w:p>
        </w:tc>
      </w:tr>
      <w:tr w:rsidR="0090704E" w:rsidRPr="00D90544" w14:paraId="101ED6F8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B3E3" w14:textId="70808CE9" w:rsidR="0090704E" w:rsidRPr="00D90544" w:rsidRDefault="007E780D" w:rsidP="007E780D">
            <w:pPr>
              <w:jc w:val="center"/>
            </w:pPr>
            <w: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F1BE" w14:textId="77777777" w:rsidR="0090704E" w:rsidRPr="00D90544" w:rsidRDefault="0090704E" w:rsidP="007E780D">
            <w:r w:rsidRPr="00D90544">
              <w:t>Součástí budou rovněž práce a služby nezbytné pro řádné a úplné zprovoznění díla, které ve smlouvě nejsou uvedeny, ale zhotovitel, jakožto odborník, o nich vědět měl nebo mohl vědět.</w:t>
            </w:r>
          </w:p>
        </w:tc>
      </w:tr>
      <w:tr w:rsidR="0090704E" w:rsidRPr="00D90544" w14:paraId="35746681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A7C9" w14:textId="0EAAC7F9" w:rsidR="0090704E" w:rsidRPr="00D90544" w:rsidRDefault="007E780D" w:rsidP="007E780D">
            <w:pPr>
              <w:jc w:val="center"/>
            </w:pPr>
            <w: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68CA1" w14:textId="77777777" w:rsidR="0090704E" w:rsidRPr="00D90544" w:rsidRDefault="0090704E" w:rsidP="007E780D">
            <w:r w:rsidRPr="00D90544">
              <w:t>Plná lokalizace v českém jazyce (uživatelské i administrátorské rozhraní, nápověda a dokumentace) včetně komunikace s podporou.</w:t>
            </w:r>
          </w:p>
        </w:tc>
      </w:tr>
      <w:tr w:rsidR="0090704E" w:rsidRPr="00D90544" w14:paraId="7C5718D8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D300A" w14:textId="48C662B7" w:rsidR="0090704E" w:rsidRPr="00D90544" w:rsidRDefault="007E780D" w:rsidP="007E780D">
            <w:pPr>
              <w:jc w:val="center"/>
            </w:pPr>
            <w: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CCEB" w14:textId="77777777" w:rsidR="0090704E" w:rsidRPr="00D90544" w:rsidRDefault="0090704E" w:rsidP="007E780D">
            <w:r w:rsidRPr="00D90544">
              <w:t>V průběhu implementace bude prováděno funkční testování jednotlivých komponent na testovacím prostředí. (Testovací prostředí bude vytvořené v TCK KHK, variantně je možno využít dodavatelem zajištěné cloudové prostředí s přístupem pro všechny členy projektového a testovacího týmu.) Implementace provedená do prostředí TCK KHK bude splňovat technické požadavky dle bodu II. zadávací dokumentace po celou dobu implementace a provozu, nebude-li dohodnuto jinak.</w:t>
            </w:r>
          </w:p>
        </w:tc>
      </w:tr>
      <w:tr w:rsidR="0090704E" w:rsidRPr="00D90544" w14:paraId="43443F54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1C4B" w14:textId="7DC5D65A" w:rsidR="0090704E" w:rsidRPr="00D90544" w:rsidRDefault="007E780D" w:rsidP="007E780D">
            <w:pPr>
              <w:jc w:val="center"/>
            </w:pPr>
            <w: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3800" w14:textId="1839E36F" w:rsidR="0090704E" w:rsidRPr="00D90544" w:rsidRDefault="0090704E" w:rsidP="007E780D">
            <w:r w:rsidRPr="00D90544">
              <w:t>Zkušební provoz bude součástí realizační fáze (implementace). V rámci zkušebního provozu bude ověřena funkčnost díla</w:t>
            </w:r>
            <w:r w:rsidR="00A44006">
              <w:t xml:space="preserve"> a případně zapracovány upřesňující požadavky vzniklé zkušebním provozem</w:t>
            </w:r>
            <w:r w:rsidRPr="00D90544">
              <w:t>.</w:t>
            </w:r>
          </w:p>
        </w:tc>
      </w:tr>
      <w:tr w:rsidR="0090704E" w:rsidRPr="00D90544" w14:paraId="05F95EB0" w14:textId="77777777" w:rsidTr="007E780D">
        <w:trPr>
          <w:trHeight w:val="5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5D06" w14:textId="29BD2CAA" w:rsidR="0090704E" w:rsidRPr="00D90544" w:rsidRDefault="007E780D" w:rsidP="007E780D">
            <w:pPr>
              <w:jc w:val="center"/>
            </w:pPr>
            <w: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6B0B" w14:textId="77777777" w:rsidR="0090704E" w:rsidRPr="00D90544" w:rsidRDefault="0090704E" w:rsidP="007E780D">
            <w:r w:rsidRPr="00D90544">
              <w:t>Systém bude respektovat platnou právní úpravu danou zejména zákonem č. 129/2000 Sb. o krajích (krajské zřízení), ve znění pozdějších předpisů.</w:t>
            </w:r>
          </w:p>
        </w:tc>
      </w:tr>
    </w:tbl>
    <w:p w14:paraId="4AB23F55" w14:textId="77777777" w:rsidR="00EE7233" w:rsidRPr="00D90544" w:rsidRDefault="00EE7233" w:rsidP="007E780D"/>
    <w:p w14:paraId="33347EF7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Technické požadavky zadavatele na implementaci: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364"/>
      </w:tblGrid>
      <w:tr w:rsidR="0090704E" w:rsidRPr="00D90544" w14:paraId="5669463A" w14:textId="77777777" w:rsidTr="0090704E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6DEAB0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D14A77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7D0CE2BB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8117D" w14:textId="596733DF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A9E5" w14:textId="2CEA097E" w:rsidR="0090704E" w:rsidRPr="00D90544" w:rsidRDefault="0090704E" w:rsidP="007E780D">
            <w:r w:rsidRPr="00D90544">
              <w:t xml:space="preserve">Fyzické prostředí pro aplikační servery: </w:t>
            </w:r>
            <w:proofErr w:type="spellStart"/>
            <w:r w:rsidRPr="00D90544">
              <w:t>PowerEdge</w:t>
            </w:r>
            <w:proofErr w:type="spellEnd"/>
            <w:r w:rsidRPr="00D90544">
              <w:t xml:space="preserve"> R740, 2 x Intel(R) </w:t>
            </w:r>
            <w:proofErr w:type="spellStart"/>
            <w:r w:rsidRPr="00D90544">
              <w:t>Xeon</w:t>
            </w:r>
            <w:proofErr w:type="spellEnd"/>
            <w:r w:rsidRPr="00D90544">
              <w:t xml:space="preserve">(R) Gold 6242 CPU @ 2.80GHz64 bit, virtualizované prostředí </w:t>
            </w:r>
            <w:proofErr w:type="spellStart"/>
            <w:r w:rsidRPr="00D90544">
              <w:t>VMware</w:t>
            </w:r>
            <w:proofErr w:type="spellEnd"/>
            <w:r w:rsidRPr="00D90544">
              <w:t xml:space="preserve"> </w:t>
            </w:r>
            <w:proofErr w:type="spellStart"/>
            <w:r w:rsidRPr="00D90544">
              <w:t>vSphere</w:t>
            </w:r>
            <w:proofErr w:type="spellEnd"/>
            <w:r w:rsidRPr="00D90544">
              <w:t xml:space="preserve"> 7.0 </w:t>
            </w:r>
            <w:proofErr w:type="spellStart"/>
            <w:r w:rsidRPr="00D90544">
              <w:t>Enterprise</w:t>
            </w:r>
            <w:proofErr w:type="spellEnd"/>
            <w:r w:rsidRPr="00D90544">
              <w:t xml:space="preserve"> Plus, virtuální server provozován v režimu vysoké dostupnosti, serverový OS: Windows 2022 edice Datacenter regionální nastavení Czech.</w:t>
            </w:r>
          </w:p>
        </w:tc>
      </w:tr>
      <w:tr w:rsidR="0090704E" w:rsidRPr="00D90544" w14:paraId="3210C58A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314D2" w14:textId="673DE21A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A3EA" w14:textId="07057953" w:rsidR="0090704E" w:rsidRPr="00D90544" w:rsidRDefault="0090704E" w:rsidP="007E780D">
            <w:r w:rsidRPr="00D90544">
              <w:t xml:space="preserve">Databázový server MSSQL 2019, provozován v SQL </w:t>
            </w:r>
            <w:proofErr w:type="spellStart"/>
            <w:r w:rsidRPr="00D90544">
              <w:t>failover</w:t>
            </w:r>
            <w:proofErr w:type="spellEnd"/>
            <w:r w:rsidRPr="00D90544">
              <w:t xml:space="preserve"> clusteru. Aplikace bude podporovat přepnutí aktivního uzlu při běhu aplikace. Server </w:t>
            </w:r>
            <w:proofErr w:type="spellStart"/>
            <w:r w:rsidRPr="00D90544">
              <w:t>Collation</w:t>
            </w:r>
            <w:proofErr w:type="spellEnd"/>
            <w:r w:rsidRPr="00D90544">
              <w:t xml:space="preserve">: </w:t>
            </w:r>
            <w:proofErr w:type="spellStart"/>
            <w:r w:rsidRPr="00D90544">
              <w:t>Czech_CI_AS</w:t>
            </w:r>
            <w:proofErr w:type="spellEnd"/>
            <w:r w:rsidRPr="00D90544">
              <w:t xml:space="preserve">. Databázový server není vyhrazený pro dodávanou aplikaci, všechny potřebné databáze budou založené SQL skriptem správcem serveru včetně nastavení přístupu s patřičnou databázovou rolí. V databázích budou uloženy všechny údaje včetně dokumentů. K přístupu na databázový server bude využito Windows ověření. Na úrovni serveru bude povolena pouze role public. Jména všech databází, přístupové účty a hesla budou uživatelsky definovatelné a stanoveny při implementaci objednatelem, bude je možné dále měnit a udržovat. </w:t>
            </w:r>
          </w:p>
        </w:tc>
      </w:tr>
      <w:tr w:rsidR="0090704E" w:rsidRPr="00D90544" w14:paraId="083C8134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0198" w14:textId="4C17F575" w:rsidR="0090704E" w:rsidRPr="00D90544" w:rsidRDefault="007E780D" w:rsidP="007E780D">
            <w:pPr>
              <w:jc w:val="center"/>
            </w:pPr>
            <w: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027B" w14:textId="297AE02C" w:rsidR="0090704E" w:rsidRPr="00D90544" w:rsidRDefault="0090704E" w:rsidP="007E780D">
            <w:r w:rsidRPr="00D90544">
              <w:t xml:space="preserve">Virtuální HW pro vyhrazené aplikační servery jsou 4 </w:t>
            </w:r>
            <w:proofErr w:type="spellStart"/>
            <w:r w:rsidRPr="00D90544">
              <w:t>vCPu</w:t>
            </w:r>
            <w:proofErr w:type="spellEnd"/>
            <w:r w:rsidRPr="00D90544">
              <w:t xml:space="preserve">, virtualizované disky kapacity </w:t>
            </w:r>
            <w:proofErr w:type="gramStart"/>
            <w:r w:rsidRPr="00D90544">
              <w:t>200GB</w:t>
            </w:r>
            <w:proofErr w:type="gramEnd"/>
            <w:r w:rsidRPr="00D90544">
              <w:t xml:space="preserve"> určené pouze pro aplikaci, 20GB paměti pro interní server. Všechna data budou uložena na databázovém serveru.</w:t>
            </w:r>
          </w:p>
        </w:tc>
      </w:tr>
      <w:tr w:rsidR="0090704E" w:rsidRPr="00D90544" w14:paraId="6ECF50D2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65DC" w14:textId="4E306690" w:rsidR="0090704E" w:rsidRPr="00D90544" w:rsidRDefault="007E780D" w:rsidP="007E780D">
            <w:pPr>
              <w:jc w:val="center"/>
            </w:pPr>
            <w:r>
              <w:lastRenderedPageBreak/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164B7" w14:textId="69F6B0B4" w:rsidR="0090704E" w:rsidRPr="00D90544" w:rsidRDefault="0090704E" w:rsidP="007E780D">
            <w:r w:rsidRPr="00D90544">
              <w:t xml:space="preserve">Aplikační servery budou ověřovat interní uživatele pomocí existujících AD účtů a Windows autentizace. Pro vlastní běh bude využito nesystémových účtů, které nebudou mít oprávnění zápisu do aplikační části. Na aplikačních serverech nebudou uložena žádná data, která by souvisela s provozem. Přístup k aplikačnímu serveru je pouze prostřednictvím https protokolu, a to k webovým stránkám a k webovým službám. Podporován bude zabezpečený přenos HTTPS s vlastní certifikační autoritou a </w:t>
            </w:r>
            <w:proofErr w:type="spellStart"/>
            <w:r w:rsidRPr="00D90544">
              <w:t>vícefaktorové</w:t>
            </w:r>
            <w:proofErr w:type="spellEnd"/>
            <w:r w:rsidRPr="00D90544">
              <w:t xml:space="preserve"> ověření uživatelů (minimální požadavek na </w:t>
            </w:r>
            <w:proofErr w:type="spellStart"/>
            <w:r w:rsidRPr="00D90544">
              <w:t>vícefaktorové</w:t>
            </w:r>
            <w:proofErr w:type="spellEnd"/>
            <w:r w:rsidRPr="00D90544">
              <w:t xml:space="preserve"> ověření je jméno, heslo, osobní certifikát).</w:t>
            </w:r>
          </w:p>
        </w:tc>
      </w:tr>
      <w:tr w:rsidR="0090704E" w:rsidRPr="00D90544" w14:paraId="315BA93E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C801A" w14:textId="31DB9315" w:rsidR="0090704E" w:rsidRPr="00D90544" w:rsidRDefault="007E780D" w:rsidP="007E780D">
            <w:pPr>
              <w:jc w:val="center"/>
            </w:pPr>
            <w: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2A01" w14:textId="34343195" w:rsidR="0090704E" w:rsidRPr="00D90544" w:rsidRDefault="0090704E" w:rsidP="007E780D">
            <w:r w:rsidRPr="00D90544">
              <w:t xml:space="preserve">Aplikace a nabízené řešení bude splňovat Bezpečnostní doporučení NÚKIB pro administrátory v aktuální verzi. (V rámci implementačního protokolu budou stanoveny relevantní požadavky a dodavatel prokáže způsob splnění.) Všechny dodané komponenty musí být podporované výrobci (dodavatelem) a garantovány aktualizace. Aktualizaci a podporu Microsoft systémů má objednatel zajištěnou.  </w:t>
            </w:r>
          </w:p>
        </w:tc>
      </w:tr>
      <w:tr w:rsidR="0090704E" w:rsidRPr="00D90544" w14:paraId="4ADF5A82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8671" w14:textId="4FA64E44" w:rsidR="0090704E" w:rsidRPr="00D90544" w:rsidRDefault="007E780D" w:rsidP="007E780D">
            <w:pPr>
              <w:jc w:val="center"/>
            </w:pPr>
            <w: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6B80" w14:textId="6B8353C9" w:rsidR="0090704E" w:rsidRPr="00D90544" w:rsidRDefault="0090704E" w:rsidP="007E780D">
            <w:r w:rsidRPr="004E4EAF">
              <w:t>Předpokládaný počet současně přistupujících uživatelů je 100</w:t>
            </w:r>
            <w:r w:rsidRPr="001B5F36">
              <w:t xml:space="preserve"> při</w:t>
            </w:r>
            <w:r w:rsidRPr="00D90544">
              <w:t xml:space="preserve"> zachování odpovídající odezvy.</w:t>
            </w:r>
          </w:p>
        </w:tc>
      </w:tr>
      <w:tr w:rsidR="0090704E" w:rsidRPr="00D90544" w14:paraId="31A01D3D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0F4E" w14:textId="3A15650A" w:rsidR="0090704E" w:rsidRPr="00D90544" w:rsidRDefault="007E780D" w:rsidP="007E780D">
            <w:pPr>
              <w:jc w:val="center"/>
            </w:pPr>
            <w: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81AA0" w14:textId="1B43A2EB" w:rsidR="0090704E" w:rsidRPr="00D90544" w:rsidRDefault="0090704E" w:rsidP="007E780D">
            <w:r w:rsidRPr="00D90544">
              <w:t xml:space="preserve">Klientem bude běžný webový prohlížeč HTML5, podporován bude minimálně MS </w:t>
            </w:r>
            <w:proofErr w:type="spellStart"/>
            <w:r w:rsidRPr="00D90544">
              <w:t>Edge</w:t>
            </w:r>
            <w:proofErr w:type="spellEnd"/>
            <w:r w:rsidRPr="00D90544">
              <w:t>, Chrome</w:t>
            </w:r>
            <w:r w:rsidR="00A44006">
              <w:t xml:space="preserve"> a Firefox</w:t>
            </w:r>
            <w:r w:rsidRPr="00D90544">
              <w:t xml:space="preserve"> (Windows desktop platforma) a mobilní zařízení Android, iOS a Windows, vždy v aktuální verzi.</w:t>
            </w:r>
          </w:p>
        </w:tc>
      </w:tr>
      <w:tr w:rsidR="0090704E" w:rsidRPr="00D90544" w14:paraId="647B4E58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752A" w14:textId="61D1FE68" w:rsidR="0090704E" w:rsidRPr="00D90544" w:rsidRDefault="007E780D" w:rsidP="007E780D">
            <w:pPr>
              <w:jc w:val="center"/>
            </w:pPr>
            <w: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BB75" w14:textId="77777777" w:rsidR="0090704E" w:rsidRPr="00D90544" w:rsidRDefault="0090704E" w:rsidP="007E780D">
            <w:r w:rsidRPr="00D90544">
              <w:t xml:space="preserve">Pro monitoring serverové infrastruktury bude využit </w:t>
            </w:r>
            <w:proofErr w:type="spellStart"/>
            <w:r w:rsidRPr="00D90544">
              <w:t>System</w:t>
            </w:r>
            <w:proofErr w:type="spellEnd"/>
            <w:r w:rsidRPr="00D90544">
              <w:t xml:space="preserve"> Center </w:t>
            </w:r>
            <w:proofErr w:type="spellStart"/>
            <w:r w:rsidRPr="00D90544">
              <w:t>Operation</w:t>
            </w:r>
            <w:proofErr w:type="spellEnd"/>
            <w:r w:rsidRPr="00D90544">
              <w:t xml:space="preserve"> Manager 2022 (SCOM) napojený na centrální konzoli.</w:t>
            </w:r>
          </w:p>
        </w:tc>
      </w:tr>
      <w:tr w:rsidR="00A44006" w:rsidRPr="00D90544" w14:paraId="127877F5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3E7B" w14:textId="329EB25E" w:rsidR="00A44006" w:rsidRDefault="00A44006" w:rsidP="007E780D">
            <w:pPr>
              <w:jc w:val="center"/>
            </w:pPr>
            <w: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D112" w14:textId="4040CFDC" w:rsidR="00A44006" w:rsidRPr="00D90544" w:rsidRDefault="00A44006" w:rsidP="007E780D">
            <w:r>
              <w:t xml:space="preserve">Implementace bude probíhat na prostředcích zadavatele ve spolupráci s určeným odborným týmem, nebude poskytován vzdálený přístup na servery. Součástí bude implementační projekt zahrnující konfiguraci serverů prostřednictvím </w:t>
            </w:r>
            <w:proofErr w:type="spellStart"/>
            <w:r w:rsidRPr="00A44006">
              <w:t>powershell</w:t>
            </w:r>
            <w:proofErr w:type="spellEnd"/>
            <w:r>
              <w:t xml:space="preserve"> skriptů. Aplikace bude přenositelná jako archivní soubor ZIP, nebude nutná instalace pomocí spustitelného kódu.</w:t>
            </w:r>
          </w:p>
        </w:tc>
      </w:tr>
    </w:tbl>
    <w:p w14:paraId="0878827C" w14:textId="77777777" w:rsidR="007E780D" w:rsidRDefault="007E780D" w:rsidP="007E780D">
      <w:pPr>
        <w:rPr>
          <w:b/>
          <w:u w:val="single"/>
        </w:rPr>
      </w:pPr>
    </w:p>
    <w:p w14:paraId="70D33491" w14:textId="5019CA73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Specifikace rozhraní a integračních vazeb: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364"/>
      </w:tblGrid>
      <w:tr w:rsidR="0090704E" w:rsidRPr="00D90544" w14:paraId="084FE4F0" w14:textId="77777777" w:rsidTr="0090704E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BAB1B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200DA3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67723B00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E92BE" w14:textId="12328752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6EC5" w14:textId="77777777" w:rsidR="0090704E" w:rsidRPr="00D90544" w:rsidRDefault="0090704E" w:rsidP="007E780D">
            <w:r w:rsidRPr="00D90544">
              <w:t xml:space="preserve">Dodávané řešení musí podporovat </w:t>
            </w:r>
            <w:bookmarkStart w:id="1" w:name="_Hlk158814868"/>
            <w:proofErr w:type="spellStart"/>
            <w:r w:rsidRPr="00D90544">
              <w:t>Active</w:t>
            </w:r>
            <w:proofErr w:type="spellEnd"/>
            <w:r w:rsidRPr="00D90544">
              <w:t xml:space="preserve"> </w:t>
            </w:r>
            <w:proofErr w:type="spellStart"/>
            <w:r w:rsidRPr="00D90544">
              <w:t>Directory</w:t>
            </w:r>
            <w:proofErr w:type="spellEnd"/>
            <w:r w:rsidRPr="00D90544">
              <w:t xml:space="preserve"> 2019 a vyšší</w:t>
            </w:r>
            <w:bookmarkEnd w:id="1"/>
            <w:r w:rsidRPr="00D90544">
              <w:t>, a to minimálně v rozsahu ověření uživatele ve dvou samostatných doménách s nastaveným jednosměrným stupněm důvěry mezi interní a externí doménou, pro externí přístup bude umožněno ověřit uživatelský certifikát.</w:t>
            </w:r>
          </w:p>
        </w:tc>
      </w:tr>
      <w:tr w:rsidR="0090704E" w:rsidRPr="00D90544" w14:paraId="346C94A2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E6829" w14:textId="377E1813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BBB7" w14:textId="77777777" w:rsidR="0090704E" w:rsidRPr="00D90544" w:rsidRDefault="0090704E" w:rsidP="007E780D">
            <w:r w:rsidRPr="00D90544">
              <w:t>Nabízené řešení bude obsahovat otevřené popsané komunikační rozhraní pro integraci s externími systémy na principu webových služeb. U využitých webových služeb bude garantována kompatibilita v souladu s implementačním projektem po celou dobu účinnosti této smlouvy. V případě úprav komunikačního rozhraní zajistí dodavatel i aktualizaci navázaných rozhraní.</w:t>
            </w:r>
          </w:p>
        </w:tc>
      </w:tr>
      <w:tr w:rsidR="0090704E" w:rsidRPr="00D90544" w14:paraId="6D8FB144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CF56" w14:textId="7B6E6F15" w:rsidR="0090704E" w:rsidRPr="00D90544" w:rsidRDefault="007E780D" w:rsidP="007E780D">
            <w:pPr>
              <w:jc w:val="center"/>
            </w:pPr>
            <w: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4F0D5" w14:textId="556510A6" w:rsidR="0090704E" w:rsidRPr="00D90544" w:rsidRDefault="0090704E" w:rsidP="007E780D">
            <w:r w:rsidRPr="00D90544">
              <w:t xml:space="preserve">Je požadovaná realizace integračních vazeb na další informační systémy provozované zadavatelem v předpokládaném </w:t>
            </w:r>
            <w:r w:rsidRPr="002B25E8">
              <w:t xml:space="preserve">rozsahu </w:t>
            </w:r>
            <w:r w:rsidRPr="004E4EAF">
              <w:t xml:space="preserve">dle Přílohy č. </w:t>
            </w:r>
            <w:r w:rsidRPr="002B25E8">
              <w:t>3.</w:t>
            </w:r>
            <w:r w:rsidRPr="00D90544">
              <w:t xml:space="preserve"> </w:t>
            </w:r>
            <w:bookmarkStart w:id="2" w:name="_Hlk158815125"/>
            <w:r w:rsidRPr="00D90544">
              <w:t xml:space="preserve">Konkrétní rozsah a způsob provedené integrace bude upřesněn </w:t>
            </w:r>
            <w:r w:rsidR="002B25E8">
              <w:t xml:space="preserve">na základě analýzy </w:t>
            </w:r>
            <w:r w:rsidRPr="00D90544">
              <w:t>v implementačním projektu</w:t>
            </w:r>
            <w:bookmarkEnd w:id="2"/>
            <w:r w:rsidRPr="00D90544">
              <w:t>.</w:t>
            </w:r>
          </w:p>
        </w:tc>
      </w:tr>
      <w:tr w:rsidR="0090704E" w:rsidRPr="00D90544" w14:paraId="39012471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7851" w14:textId="56A88531" w:rsidR="0090704E" w:rsidRPr="00D90544" w:rsidRDefault="007E780D" w:rsidP="007E780D">
            <w:pPr>
              <w:jc w:val="center"/>
            </w:pPr>
            <w: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C2F9" w14:textId="77777777" w:rsidR="0090704E" w:rsidRPr="00D90544" w:rsidRDefault="0090704E" w:rsidP="007E780D">
            <w:r w:rsidRPr="004E4EAF">
              <w:t>Aplikace musí umožňovat export dat do otevřeného formátu (XML nebo CSV)</w:t>
            </w:r>
            <w:r w:rsidRPr="00D90544">
              <w:t xml:space="preserve"> </w:t>
            </w:r>
          </w:p>
        </w:tc>
      </w:tr>
    </w:tbl>
    <w:p w14:paraId="1D410704" w14:textId="77777777" w:rsidR="00EE7233" w:rsidRPr="00D90544" w:rsidRDefault="00EE7233" w:rsidP="007E780D"/>
    <w:p w14:paraId="62B6E231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Další specifikace: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364"/>
      </w:tblGrid>
      <w:tr w:rsidR="0090704E" w:rsidRPr="00D90544" w14:paraId="13E05F27" w14:textId="77777777" w:rsidTr="0090704E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F77C4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724F08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757AB289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F1C95" w14:textId="1A0A9FB7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98F" w14:textId="77777777" w:rsidR="0090704E" w:rsidRPr="00D90544" w:rsidRDefault="0090704E" w:rsidP="007E780D">
            <w:r w:rsidRPr="00D90544">
              <w:t>Nabídka a dodávka musí obsahovat veškeré nezbytné časově neomezené licence (včetně licencí k rozhraní pro napojení IS třetích stran) k řádnému plnění předmětu smlouvy, tj. k řádnému provozu díla na zařízení objednatele, zajišťující plnou funkcionalitu nabízeného řešení, která bude umožňovat přístup neomezenému počtu interních i externích uživatelů, s možností instalace více databází a aplikačních instancí. Licence pro operační systémy, MSSQL, monitoring, zálohování a uživatelské přístupové licence k operačním systémům má zadavatel k dispozici a nejsou předmětem dodávky.</w:t>
            </w:r>
          </w:p>
        </w:tc>
      </w:tr>
      <w:tr w:rsidR="0090704E" w:rsidRPr="00D90544" w14:paraId="78D3015D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6EFCB" w14:textId="249DED13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1AD6" w14:textId="77777777" w:rsidR="0090704E" w:rsidRPr="00D90544" w:rsidRDefault="0090704E" w:rsidP="007E780D">
            <w:r w:rsidRPr="00D90544">
              <w:t>Modul centrální správy a administrace systému.</w:t>
            </w:r>
          </w:p>
        </w:tc>
      </w:tr>
    </w:tbl>
    <w:p w14:paraId="51E84C9D" w14:textId="77777777" w:rsidR="00EE7233" w:rsidRPr="00D90544" w:rsidRDefault="00EE7233" w:rsidP="007E780D"/>
    <w:p w14:paraId="57CFF861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Požadavky na implementaci: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8364"/>
      </w:tblGrid>
      <w:tr w:rsidR="0090704E" w:rsidRPr="00D90544" w14:paraId="441BB101" w14:textId="77777777" w:rsidTr="0090704E">
        <w:trPr>
          <w:trHeight w:val="34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2A750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895FCF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703654F3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4422" w14:textId="599CB137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C536" w14:textId="77777777" w:rsidR="0090704E" w:rsidRPr="00D90544" w:rsidRDefault="0090704E" w:rsidP="007E780D">
            <w:r w:rsidRPr="00D90544">
              <w:t xml:space="preserve">Všechny části dodaného řešení musí splňovat požadavky zákona č. 110/2019 Sb. o zpracování osobních údajů a požadavky Nařízení Evropského parlamentu a Rady (EU) č. 2016/679 ze dne 27. dubna 2016 o ochraně fyzických osob v souvislosti se zpracováním osobních údajů a o volném pohybu těchto údajů. Aplikace musí umožňovat logovaní přidělených uživatelských oprávnění, logování svého provozu a </w:t>
            </w:r>
            <w:proofErr w:type="spellStart"/>
            <w:r w:rsidRPr="00D90544">
              <w:t>debug</w:t>
            </w:r>
            <w:proofErr w:type="spellEnd"/>
            <w:r w:rsidRPr="00D90544">
              <w:t xml:space="preserve"> log.  Aplikace bude podporovat označení osobních údajů. </w:t>
            </w:r>
          </w:p>
        </w:tc>
      </w:tr>
      <w:tr w:rsidR="0090704E" w:rsidRPr="00D90544" w14:paraId="7B1A5FA4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5E064" w14:textId="6B477779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4EBF" w14:textId="77777777" w:rsidR="0090704E" w:rsidRPr="00D90544" w:rsidRDefault="0090704E" w:rsidP="007E780D">
            <w:r w:rsidRPr="00D90544">
              <w:t xml:space="preserve">Součástí dodávky bude </w:t>
            </w:r>
            <w:r w:rsidRPr="00D90544">
              <w:rPr>
                <w:bCs/>
              </w:rPr>
              <w:t>návrh havarijních plánů a plánů obnovy po havárii</w:t>
            </w:r>
            <w:r w:rsidRPr="00D90544">
              <w:t xml:space="preserve"> pro jednotlivé části díla. Všechny postupy bude možné před předáním díla prakticky ověřit a odsouhlasit.</w:t>
            </w:r>
          </w:p>
        </w:tc>
      </w:tr>
      <w:tr w:rsidR="0090704E" w:rsidRPr="00D90544" w14:paraId="74A321E7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0ED7" w14:textId="2FBF5DC3" w:rsidR="0090704E" w:rsidRPr="00D90544" w:rsidRDefault="007E780D" w:rsidP="007E780D">
            <w:pPr>
              <w:jc w:val="center"/>
            </w:pPr>
            <w: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161D" w14:textId="77777777" w:rsidR="0090704E" w:rsidRPr="00D90544" w:rsidRDefault="0090704E" w:rsidP="007E780D">
            <w:r w:rsidRPr="00D90544">
              <w:t>Nabízené řešení nesmí odesílat žádná data z místní sítě, pokud to není předmětem požadavku zadavatele. Pokud je předmětem dodávky externí komunikace, bude v rámci analýzy přesně popsán datový tok, aby bylo možné nastavit bezpečnostní kontroly komunikace.</w:t>
            </w:r>
          </w:p>
        </w:tc>
      </w:tr>
      <w:tr w:rsidR="0090704E" w:rsidRPr="00D90544" w14:paraId="0E81BDE7" w14:textId="77777777" w:rsidTr="007E780D">
        <w:trPr>
          <w:trHeight w:val="7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88312" w14:textId="5B7CBE9B" w:rsidR="0090704E" w:rsidRPr="00D90544" w:rsidRDefault="007E780D" w:rsidP="007E780D">
            <w:pPr>
              <w:jc w:val="center"/>
            </w:pPr>
            <w: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90F99" w14:textId="5AE11A98" w:rsidR="0090704E" w:rsidRPr="00D90544" w:rsidRDefault="0090704E" w:rsidP="007E780D">
            <w:r w:rsidRPr="00D90544">
              <w:t xml:space="preserve">Nabízené řešení nebude chráněno HW klíčem či jiným mechanismem, který by znemožňoval přenos serverových instancí v rámci virtuálního uzlu, případně změnu HW konfigurace (přidání </w:t>
            </w:r>
            <w:proofErr w:type="spellStart"/>
            <w:r w:rsidRPr="00D90544">
              <w:t>vCPU</w:t>
            </w:r>
            <w:proofErr w:type="spellEnd"/>
            <w:r w:rsidRPr="00D90544">
              <w:t xml:space="preserve">, změnu velikosti paměti, změnu diskového prostoru apod.) se zachováním funkčnosti řešení (např. vázán na konkrétní HW apod.) a nebude vyžadovat aktivaci online. </w:t>
            </w:r>
          </w:p>
        </w:tc>
      </w:tr>
      <w:tr w:rsidR="0090704E" w:rsidRPr="00D90544" w14:paraId="1C1523F2" w14:textId="77777777" w:rsidTr="007E780D">
        <w:trPr>
          <w:trHeight w:val="55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EFEF7" w14:textId="5BA9260F" w:rsidR="0090704E" w:rsidRPr="00D90544" w:rsidRDefault="007E780D" w:rsidP="007E780D">
            <w:pPr>
              <w:jc w:val="center"/>
            </w:pPr>
            <w: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81E7A" w14:textId="77777777" w:rsidR="0090704E" w:rsidRPr="00D90544" w:rsidRDefault="0090704E" w:rsidP="007E780D">
            <w:r w:rsidRPr="00D90544">
              <w:t>V případě využití emailového systému bude využito SMTP protokolu směrovaného na specifikovaný poštovní server. Aplikace bude umožňovat konfigurovat všechny parametry spojené s vytvořením a odesláním elektronické zprávy</w:t>
            </w:r>
          </w:p>
        </w:tc>
      </w:tr>
    </w:tbl>
    <w:p w14:paraId="7210AFAA" w14:textId="77777777" w:rsidR="00EE7233" w:rsidRPr="00D90544" w:rsidRDefault="00EE7233" w:rsidP="007E780D"/>
    <w:p w14:paraId="052FF8CF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Požadavky na školení, dokumentaci a podporu: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357"/>
      </w:tblGrid>
      <w:tr w:rsidR="0090704E" w:rsidRPr="00D90544" w14:paraId="261F326D" w14:textId="77777777" w:rsidTr="0090704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2D32C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C39A5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378DF030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43C9" w14:textId="032600EB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34BD" w14:textId="56DA134C" w:rsidR="0090704E" w:rsidRPr="00D90544" w:rsidRDefault="0090704E" w:rsidP="007E780D">
            <w:r w:rsidRPr="00D90544">
              <w:t>Součástí nabídky bude administrátorské školení (cca 8 hodin) v PC učebně KÚ KHK včetně uceleného manuálu pro administrátory.</w:t>
            </w:r>
          </w:p>
        </w:tc>
      </w:tr>
      <w:tr w:rsidR="0090704E" w:rsidRPr="00D90544" w14:paraId="2E14DCD1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4417F" w14:textId="63FDE753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179BB" w14:textId="736A8AC4" w:rsidR="0090704E" w:rsidRPr="00D90544" w:rsidRDefault="0090704E" w:rsidP="007E780D">
            <w:r w:rsidRPr="00D90544">
              <w:t>Dále bude provedeno uživatelské pro klíčové uživatele zadavatele formou práce s aplikací v PC učebně KÚ KHK včetně uceleného manuálu pro uživatele.</w:t>
            </w:r>
          </w:p>
        </w:tc>
      </w:tr>
      <w:tr w:rsidR="0090704E" w:rsidRPr="00D90544" w14:paraId="62A95997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DF2F" w14:textId="1EA03E96" w:rsidR="0090704E" w:rsidRPr="00D90544" w:rsidRDefault="007E780D" w:rsidP="007E780D">
            <w:pPr>
              <w:jc w:val="center"/>
            </w:pPr>
            <w:r>
              <w:t>3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E0A02" w14:textId="77777777" w:rsidR="0090704E" w:rsidRPr="00D90544" w:rsidRDefault="0090704E" w:rsidP="007E780D">
            <w:r w:rsidRPr="00D90544">
              <w:t xml:space="preserve">V rámci podpory bude pro zadavatele po dobu trvání Smlouvy </w:t>
            </w:r>
            <w:r w:rsidRPr="002B25E8">
              <w:t xml:space="preserve">vyhrazeno </w:t>
            </w:r>
            <w:r w:rsidRPr="004E4EAF">
              <w:t>100 hodin vývojových prací</w:t>
            </w:r>
            <w:r w:rsidRPr="002B25E8">
              <w:t xml:space="preserve"> výhradně pro případnou úpravu a rozšíření aplikace. Všechny</w:t>
            </w:r>
            <w:r w:rsidRPr="00D90544">
              <w:t xml:space="preserve"> čerpané hodiny musí být evidovány a pověřeným zaměstnancem zadavatele odsouhlaseny.</w:t>
            </w:r>
          </w:p>
        </w:tc>
      </w:tr>
      <w:tr w:rsidR="0090704E" w:rsidRPr="00D90544" w14:paraId="65DB41EC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F337" w14:textId="048DCC66" w:rsidR="0090704E" w:rsidRPr="00D90544" w:rsidRDefault="007E780D" w:rsidP="007E780D">
            <w:pPr>
              <w:jc w:val="center"/>
            </w:pPr>
            <w:r>
              <w:t>4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19CF" w14:textId="3D8E2713" w:rsidR="0090704E" w:rsidRPr="00D90544" w:rsidRDefault="0090704E" w:rsidP="007E780D">
            <w:r w:rsidRPr="00D90544">
              <w:t>Součástí dodávky bude standardní dokumentace k dodanému IS, tedy uživatelská dokumentace (administrátorská a uživatelská příručka). Akceptovatelná je i elektronická verze. Nedílnou součástí díla je i dokumentace konečného provedení díla.</w:t>
            </w:r>
          </w:p>
        </w:tc>
      </w:tr>
    </w:tbl>
    <w:p w14:paraId="277CD686" w14:textId="77777777" w:rsidR="00EE7233" w:rsidRPr="00D90544" w:rsidRDefault="00EE7233" w:rsidP="007E780D"/>
    <w:p w14:paraId="2B9BBC73" w14:textId="77777777" w:rsidR="00EE7233" w:rsidRPr="007E780D" w:rsidRDefault="00EE7233" w:rsidP="007E780D">
      <w:pPr>
        <w:rPr>
          <w:bCs/>
          <w:u w:val="single"/>
        </w:rPr>
      </w:pPr>
      <w:r w:rsidRPr="007E780D">
        <w:rPr>
          <w:bCs/>
          <w:u w:val="single"/>
        </w:rPr>
        <w:t>Požadavky na licence: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357"/>
      </w:tblGrid>
      <w:tr w:rsidR="0090704E" w:rsidRPr="00D90544" w14:paraId="0CD91687" w14:textId="77777777" w:rsidTr="0090704E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DBF2C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Číslo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9BEA8E" w14:textId="77777777" w:rsidR="0090704E" w:rsidRPr="00D90544" w:rsidRDefault="0090704E" w:rsidP="007E780D">
            <w:pPr>
              <w:rPr>
                <w:b/>
              </w:rPr>
            </w:pPr>
            <w:r w:rsidRPr="00D90544">
              <w:rPr>
                <w:b/>
              </w:rPr>
              <w:t>Požadavek</w:t>
            </w:r>
          </w:p>
        </w:tc>
      </w:tr>
      <w:tr w:rsidR="0090704E" w:rsidRPr="00D90544" w14:paraId="14A7A36B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ECF7" w14:textId="4EE7189B" w:rsidR="0090704E" w:rsidRPr="00D90544" w:rsidRDefault="007E780D" w:rsidP="007E780D">
            <w:pPr>
              <w:jc w:val="center"/>
            </w:pPr>
            <w:r>
              <w:t>1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BB37" w14:textId="77777777" w:rsidR="0090704E" w:rsidRPr="00D90544" w:rsidRDefault="0090704E" w:rsidP="007E780D">
            <w:r w:rsidRPr="00D90544">
              <w:t>Nabízené řešení zahrnuje neomezenou multilicenci k produktu k užití zadavatelem. Jedná se o časově neomezenou multilicenci opravňující k neomezenému počtu přístupů zadavatele ke všem funkcionalitám produktu provozovaného a spravovaného na zařízení zadavatele.</w:t>
            </w:r>
          </w:p>
        </w:tc>
      </w:tr>
      <w:tr w:rsidR="0090704E" w:rsidRPr="00D90544" w14:paraId="7433ACDA" w14:textId="77777777" w:rsidTr="007E780D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F67E" w14:textId="073F4677" w:rsidR="0090704E" w:rsidRPr="00D90544" w:rsidRDefault="007E780D" w:rsidP="007E780D">
            <w:pPr>
              <w:jc w:val="center"/>
            </w:pPr>
            <w:r>
              <w:t>2</w:t>
            </w:r>
          </w:p>
        </w:tc>
        <w:tc>
          <w:tcPr>
            <w:tcW w:w="8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2992" w14:textId="77777777" w:rsidR="0090704E" w:rsidRPr="00D90544" w:rsidRDefault="0090704E" w:rsidP="007E780D">
            <w:r w:rsidRPr="00D90544">
              <w:t>Licence nabízeného řešení zahrnuje rozhraní pro neomezený počet informačních systémů třetích stran.</w:t>
            </w:r>
          </w:p>
        </w:tc>
      </w:tr>
    </w:tbl>
    <w:p w14:paraId="6841F704" w14:textId="77777777" w:rsidR="00554C93" w:rsidRDefault="00554C93" w:rsidP="007E780D"/>
    <w:p w14:paraId="36F8813B" w14:textId="016DB193" w:rsidR="00EB3087" w:rsidRPr="00B2654F" w:rsidRDefault="0090582B" w:rsidP="007E780D">
      <w:pPr>
        <w:rPr>
          <w:b/>
          <w:bCs/>
          <w:sz w:val="24"/>
          <w:szCs w:val="24"/>
        </w:rPr>
      </w:pPr>
      <w:r w:rsidRPr="00B2654F">
        <w:rPr>
          <w:b/>
          <w:bCs/>
          <w:sz w:val="24"/>
          <w:szCs w:val="24"/>
        </w:rPr>
        <w:t>Přílohy:</w:t>
      </w:r>
    </w:p>
    <w:p w14:paraId="7CD841E3" w14:textId="75E9625A" w:rsidR="0090582B" w:rsidRPr="00D90544" w:rsidRDefault="00A349A8" w:rsidP="00B2654F">
      <w:pPr>
        <w:spacing w:after="120" w:line="240" w:lineRule="auto"/>
      </w:pPr>
      <w:bookmarkStart w:id="3" w:name="_Hlk201823790"/>
      <w:r w:rsidRPr="00D90544">
        <w:t>Příloha č. 1 – Popis stávajícího procesu přípravy a realizace projektu</w:t>
      </w:r>
    </w:p>
    <w:p w14:paraId="5EA96B83" w14:textId="227C53AD" w:rsidR="00A349A8" w:rsidRPr="00D90544" w:rsidRDefault="00A349A8" w:rsidP="00B2654F">
      <w:pPr>
        <w:spacing w:after="120" w:line="240" w:lineRule="auto"/>
      </w:pPr>
      <w:r w:rsidRPr="00D90544">
        <w:t>Příloha č. 2 – Popis stávajícího podprocesu realizace projektu po schválení</w:t>
      </w:r>
    </w:p>
    <w:p w14:paraId="7F74B96C" w14:textId="3A5A343C" w:rsidR="00A349A8" w:rsidRPr="00D90544" w:rsidRDefault="00A349A8" w:rsidP="00B2654F">
      <w:pPr>
        <w:spacing w:after="120" w:line="240" w:lineRule="auto"/>
      </w:pPr>
      <w:r w:rsidRPr="00D90544">
        <w:t xml:space="preserve">Příloha č. 3 – </w:t>
      </w:r>
      <w:r w:rsidR="0041414A" w:rsidRPr="00D90544">
        <w:t>Předpokládaný rozsah vazeb</w:t>
      </w:r>
    </w:p>
    <w:p w14:paraId="3BFA5FA4" w14:textId="249077A7" w:rsidR="00A349A8" w:rsidRPr="00D90544" w:rsidRDefault="00A349A8" w:rsidP="00B2654F">
      <w:pPr>
        <w:spacing w:after="120" w:line="240" w:lineRule="auto"/>
      </w:pPr>
      <w:r w:rsidRPr="00D90544">
        <w:t xml:space="preserve">Příloha č. 4 – </w:t>
      </w:r>
      <w:r w:rsidR="0041414A" w:rsidRPr="00D90544">
        <w:t>Podklady k evidenci z odboru investic KÚ</w:t>
      </w:r>
    </w:p>
    <w:bookmarkEnd w:id="3"/>
    <w:p w14:paraId="16A2D291" w14:textId="77777777" w:rsidR="00A349A8" w:rsidRPr="00D90544" w:rsidRDefault="00A349A8" w:rsidP="007E780D"/>
    <w:p w14:paraId="156F01EC" w14:textId="77777777" w:rsidR="00A349A8" w:rsidRPr="00D90544" w:rsidRDefault="00A349A8" w:rsidP="007E780D"/>
    <w:p w14:paraId="4349F838" w14:textId="77777777" w:rsidR="00950D1B" w:rsidRPr="00D90544" w:rsidRDefault="00950D1B" w:rsidP="007E780D"/>
    <w:p w14:paraId="2F121A3B" w14:textId="37A8735A" w:rsidR="00315AD0" w:rsidRPr="00D90544" w:rsidRDefault="00315AD0" w:rsidP="007E780D">
      <w:r w:rsidRPr="00D90544">
        <w:t xml:space="preserve"> </w:t>
      </w:r>
    </w:p>
    <w:bookmarkEnd w:id="0"/>
    <w:p w14:paraId="412FDED5" w14:textId="77777777" w:rsidR="0013164B" w:rsidRPr="00D90544" w:rsidRDefault="0013164B" w:rsidP="007E780D"/>
    <w:sectPr w:rsidR="0013164B" w:rsidRPr="00D90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B23"/>
    <w:multiLevelType w:val="hybridMultilevel"/>
    <w:tmpl w:val="82A46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646"/>
    <w:multiLevelType w:val="hybridMultilevel"/>
    <w:tmpl w:val="F4924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C5F"/>
    <w:multiLevelType w:val="hybridMultilevel"/>
    <w:tmpl w:val="82A46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044D"/>
    <w:multiLevelType w:val="hybridMultilevel"/>
    <w:tmpl w:val="32DED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CAC"/>
    <w:multiLevelType w:val="multilevel"/>
    <w:tmpl w:val="A5509AAC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AAA2028"/>
    <w:multiLevelType w:val="hybridMultilevel"/>
    <w:tmpl w:val="5C8E1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970FD"/>
    <w:multiLevelType w:val="hybridMultilevel"/>
    <w:tmpl w:val="F1DE6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60C19"/>
    <w:multiLevelType w:val="hybridMultilevel"/>
    <w:tmpl w:val="23D86A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0EF6"/>
    <w:multiLevelType w:val="hybridMultilevel"/>
    <w:tmpl w:val="72685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313A8"/>
    <w:multiLevelType w:val="hybridMultilevel"/>
    <w:tmpl w:val="65FE2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D413B"/>
    <w:multiLevelType w:val="hybridMultilevel"/>
    <w:tmpl w:val="F4948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4764F"/>
    <w:multiLevelType w:val="hybridMultilevel"/>
    <w:tmpl w:val="82A46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A4507"/>
    <w:multiLevelType w:val="hybridMultilevel"/>
    <w:tmpl w:val="D5DE3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D35"/>
    <w:multiLevelType w:val="hybridMultilevel"/>
    <w:tmpl w:val="83A843A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50928995">
    <w:abstractNumId w:val="4"/>
  </w:num>
  <w:num w:numId="2" w16cid:durableId="325282078">
    <w:abstractNumId w:val="13"/>
  </w:num>
  <w:num w:numId="3" w16cid:durableId="1559048811">
    <w:abstractNumId w:val="7"/>
  </w:num>
  <w:num w:numId="4" w16cid:durableId="1255937656">
    <w:abstractNumId w:val="3"/>
  </w:num>
  <w:num w:numId="5" w16cid:durableId="908883428">
    <w:abstractNumId w:val="1"/>
  </w:num>
  <w:num w:numId="6" w16cid:durableId="2105683425">
    <w:abstractNumId w:val="5"/>
  </w:num>
  <w:num w:numId="7" w16cid:durableId="1717196477">
    <w:abstractNumId w:val="10"/>
  </w:num>
  <w:num w:numId="8" w16cid:durableId="2097896432">
    <w:abstractNumId w:val="0"/>
  </w:num>
  <w:num w:numId="9" w16cid:durableId="1660884854">
    <w:abstractNumId w:val="2"/>
  </w:num>
  <w:num w:numId="10" w16cid:durableId="1592473794">
    <w:abstractNumId w:val="11"/>
  </w:num>
  <w:num w:numId="11" w16cid:durableId="2114128052">
    <w:abstractNumId w:val="6"/>
  </w:num>
  <w:num w:numId="12" w16cid:durableId="913659336">
    <w:abstractNumId w:val="12"/>
  </w:num>
  <w:num w:numId="13" w16cid:durableId="2129856502">
    <w:abstractNumId w:val="9"/>
  </w:num>
  <w:num w:numId="14" w16cid:durableId="14150064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4B"/>
    <w:rsid w:val="000545CE"/>
    <w:rsid w:val="0013164B"/>
    <w:rsid w:val="001503A9"/>
    <w:rsid w:val="001B5F36"/>
    <w:rsid w:val="001D386B"/>
    <w:rsid w:val="002B25E8"/>
    <w:rsid w:val="00313C57"/>
    <w:rsid w:val="00315AD0"/>
    <w:rsid w:val="00376A77"/>
    <w:rsid w:val="0041414A"/>
    <w:rsid w:val="00474712"/>
    <w:rsid w:val="004D30D4"/>
    <w:rsid w:val="004E4EAF"/>
    <w:rsid w:val="00554C93"/>
    <w:rsid w:val="00703F7B"/>
    <w:rsid w:val="00782DDD"/>
    <w:rsid w:val="007A1EB6"/>
    <w:rsid w:val="007A39BE"/>
    <w:rsid w:val="007D1E05"/>
    <w:rsid w:val="007E780D"/>
    <w:rsid w:val="00804966"/>
    <w:rsid w:val="00871035"/>
    <w:rsid w:val="0090582B"/>
    <w:rsid w:val="0090704E"/>
    <w:rsid w:val="00950D1B"/>
    <w:rsid w:val="009673E4"/>
    <w:rsid w:val="00971066"/>
    <w:rsid w:val="00981120"/>
    <w:rsid w:val="00992D01"/>
    <w:rsid w:val="00A349A8"/>
    <w:rsid w:val="00A44006"/>
    <w:rsid w:val="00A72206"/>
    <w:rsid w:val="00B2372B"/>
    <w:rsid w:val="00B2654F"/>
    <w:rsid w:val="00B26B58"/>
    <w:rsid w:val="00C50E3C"/>
    <w:rsid w:val="00C9474F"/>
    <w:rsid w:val="00D90544"/>
    <w:rsid w:val="00E82F16"/>
    <w:rsid w:val="00EB3087"/>
    <w:rsid w:val="00E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AAD4"/>
  <w15:chartTrackingRefBased/>
  <w15:docId w15:val="{E143D1E9-F7A8-413B-887F-EB6F0BB9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72206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nhideWhenUsed/>
    <w:qFormat/>
    <w:rsid w:val="00A7220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nhideWhenUsed/>
    <w:qFormat/>
    <w:rsid w:val="00A72206"/>
    <w:pPr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libri" w:eastAsia="Times New Roman" w:hAnsi="Calibri" w:cs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nhideWhenUsed/>
    <w:qFormat/>
    <w:rsid w:val="00A7220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A7220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A7220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220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220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220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N">
    <w:name w:val="ODST N"/>
    <w:basedOn w:val="ODST1"/>
    <w:link w:val="ODSTNChar"/>
    <w:autoRedefine/>
    <w:qFormat/>
    <w:rsid w:val="007E780D"/>
    <w:pPr>
      <w:spacing w:before="0" w:after="120" w:line="240" w:lineRule="auto"/>
      <w:jc w:val="left"/>
    </w:pPr>
    <w:rPr>
      <w:rFonts w:ascii="Calibri" w:hAnsi="Calibri" w:cs="Calibri"/>
      <w:bCs w:val="0"/>
      <w:sz w:val="24"/>
      <w:szCs w:val="24"/>
    </w:rPr>
  </w:style>
  <w:style w:type="paragraph" w:customStyle="1" w:styleId="ODST1">
    <w:name w:val="ODST 1"/>
    <w:basedOn w:val="Normln"/>
    <w:next w:val="ODSTN"/>
    <w:link w:val="ODST1Char"/>
    <w:autoRedefine/>
    <w:qFormat/>
    <w:rsid w:val="0013164B"/>
    <w:pPr>
      <w:spacing w:before="240" w:after="240" w:line="312" w:lineRule="auto"/>
      <w:jc w:val="both"/>
    </w:pPr>
    <w:rPr>
      <w:rFonts w:ascii="Arial" w:eastAsia="Arial" w:hAnsi="Arial" w:cs="Arial"/>
      <w:bCs/>
      <w:lang w:val="cs" w:eastAsia="cs-CZ"/>
    </w:rPr>
  </w:style>
  <w:style w:type="character" w:customStyle="1" w:styleId="ODSTNChar">
    <w:name w:val="ODST N Char"/>
    <w:basedOn w:val="Standardnpsmoodstavce"/>
    <w:link w:val="ODSTN"/>
    <w:qFormat/>
    <w:rsid w:val="007E780D"/>
    <w:rPr>
      <w:rFonts w:ascii="Calibri" w:eastAsia="Arial" w:hAnsi="Calibri" w:cs="Calibri"/>
      <w:sz w:val="24"/>
      <w:szCs w:val="24"/>
      <w:lang w:val="cs" w:eastAsia="cs-CZ"/>
    </w:rPr>
  </w:style>
  <w:style w:type="character" w:customStyle="1" w:styleId="ODST1Char">
    <w:name w:val="ODST 1 Char"/>
    <w:basedOn w:val="ODSTNChar"/>
    <w:link w:val="ODST1"/>
    <w:rsid w:val="0013164B"/>
    <w:rPr>
      <w:rFonts w:ascii="Arial" w:eastAsia="Arial" w:hAnsi="Arial" w:cs="Arial"/>
      <w:bCs/>
      <w:sz w:val="24"/>
      <w:szCs w:val="24"/>
      <w:lang w:val="cs" w:eastAsia="cs-CZ"/>
    </w:rPr>
  </w:style>
  <w:style w:type="character" w:customStyle="1" w:styleId="Nadpis1Char">
    <w:name w:val="Nadpis 1 Char"/>
    <w:basedOn w:val="Standardnpsmoodstavce"/>
    <w:link w:val="Nadpis1"/>
    <w:rsid w:val="00A72206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rsid w:val="00A7220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rsid w:val="00A72206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rsid w:val="00A72206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rsid w:val="00A72206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rsid w:val="00A72206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2206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2206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2206"/>
    <w:rPr>
      <w:rFonts w:ascii="Cambria" w:eastAsia="Times New Roman" w:hAnsi="Cambria" w:cs="Times New Roman"/>
      <w:lang w:val="x-non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EE7233"/>
    <w:rPr>
      <w:rFonts w:ascii="Calibri" w:eastAsia="Times New Roman" w:hAnsi="Calibri" w:cs="Calibri"/>
    </w:rPr>
  </w:style>
  <w:style w:type="paragraph" w:styleId="Odstavecseseznamem">
    <w:name w:val="List Paragraph"/>
    <w:basedOn w:val="Normln"/>
    <w:link w:val="OdstavecseseznamemChar"/>
    <w:uiPriority w:val="99"/>
    <w:qFormat/>
    <w:rsid w:val="00EE7233"/>
    <w:pPr>
      <w:overflowPunct w:val="0"/>
      <w:autoSpaceDE w:val="0"/>
      <w:autoSpaceDN w:val="0"/>
      <w:adjustRightInd w:val="0"/>
      <w:spacing w:before="80" w:after="80" w:line="240" w:lineRule="auto"/>
      <w:jc w:val="both"/>
    </w:pPr>
    <w:rPr>
      <w:rFonts w:ascii="Calibri" w:eastAsia="Times New Roman" w:hAnsi="Calibri" w:cs="Calibri"/>
    </w:rPr>
  </w:style>
  <w:style w:type="character" w:customStyle="1" w:styleId="Zkladntext">
    <w:name w:val="Základní text_"/>
    <w:basedOn w:val="Standardnpsmoodstavce"/>
    <w:link w:val="Zkladntext1"/>
    <w:locked/>
    <w:rsid w:val="00EE7233"/>
    <w:rPr>
      <w:rFonts w:ascii="Arial" w:hAnsi="Arial" w:cs="Arial"/>
      <w:color w:val="009900"/>
    </w:rPr>
  </w:style>
  <w:style w:type="paragraph" w:customStyle="1" w:styleId="Zkladntext1">
    <w:name w:val="Základní text1"/>
    <w:basedOn w:val="Normln"/>
    <w:link w:val="Zkladntext"/>
    <w:rsid w:val="00EE7233"/>
    <w:pPr>
      <w:spacing w:after="0" w:line="252" w:lineRule="auto"/>
      <w:ind w:firstLine="160"/>
    </w:pPr>
    <w:rPr>
      <w:rFonts w:ascii="Arial" w:hAnsi="Arial" w:cs="Arial"/>
      <w:color w:val="009900"/>
    </w:rPr>
  </w:style>
  <w:style w:type="character" w:styleId="Odkaznakoment">
    <w:name w:val="annotation reference"/>
    <w:basedOn w:val="Standardnpsmoodstavce"/>
    <w:uiPriority w:val="99"/>
    <w:semiHidden/>
    <w:unhideWhenUsed/>
    <w:rsid w:val="00EE72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72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72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72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72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72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503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E073-F788-4F71-BCEE-B09261BA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1751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Pecold Bohumil Ing.</dc:creator>
  <cp:keywords/>
  <dc:description/>
  <cp:lastModifiedBy>Bučková Jitka Mgr.</cp:lastModifiedBy>
  <cp:revision>3</cp:revision>
  <dcterms:created xsi:type="dcterms:W3CDTF">2024-02-14T14:05:00Z</dcterms:created>
  <dcterms:modified xsi:type="dcterms:W3CDTF">2025-06-26T07:50:00Z</dcterms:modified>
</cp:coreProperties>
</file>