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11690E" w:rsidRPr="003D6ED4" w:rsidRDefault="0011690E" w:rsidP="0011690E">
      <w:pPr>
        <w:spacing w:after="19"/>
        <w:rPr>
          <w:rFonts w:ascii="Times New Roman" w:hAnsi="Times New Roman"/>
          <w:color w:val="000000" w:themeColor="text1"/>
          <w:sz w:val="28"/>
          <w:szCs w:val="24"/>
          <w:lang w:val="cs-CZ"/>
        </w:rPr>
      </w:pPr>
    </w:p>
    <w:p w:rsidR="0011690E" w:rsidRPr="003D6ED4" w:rsidRDefault="0011690E" w:rsidP="003D6ED4">
      <w:pPr>
        <w:spacing w:line="201" w:lineRule="exact"/>
        <w:ind w:left="1416" w:hanging="660"/>
        <w:rPr>
          <w:rFonts w:ascii="Times New Roman" w:hAnsi="Times New Roman" w:cs="Times New Roman"/>
          <w:sz w:val="24"/>
          <w:szCs w:val="24"/>
          <w:lang w:val="cs-CZ"/>
        </w:rPr>
      </w:pPr>
      <w:r w:rsidRPr="003D6ED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Pavilon Tropické bažiny – generální oprava polykarbonátové střechy</w:t>
      </w:r>
      <w:r w:rsidRPr="003D6ED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1690E" w:rsidRPr="0011690E" w:rsidRDefault="0011690E" w:rsidP="0011690E">
      <w:pPr>
        <w:spacing w:line="201" w:lineRule="exact"/>
        <w:ind w:left="756"/>
        <w:rPr>
          <w:rFonts w:ascii="Times New Roman" w:hAnsi="Times New Roman" w:cs="Times New Roman"/>
          <w:sz w:val="24"/>
          <w:szCs w:val="24"/>
          <w:lang w:val="cs-CZ"/>
        </w:rPr>
      </w:pPr>
    </w:p>
    <w:p w:rsidR="0011690E" w:rsidRPr="00C40B56" w:rsidRDefault="0011690E" w:rsidP="00C40B56">
      <w:pPr>
        <w:spacing w:after="209"/>
        <w:ind w:left="7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Upraveno </w:t>
      </w:r>
      <w:r w:rsidR="003D6ED4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dne </w:t>
      </w:r>
      <w:proofErr w:type="gramStart"/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1.9.2025</w:t>
      </w:r>
      <w:proofErr w:type="gramEnd"/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na základě skutečností zjištěných při prohlídce stavby, kde byl uzná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n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rozpor mezi rozpočtem a </w:t>
      </w:r>
      <w:r w:rsidR="003D6ED4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závazně 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technick</w:t>
      </w:r>
      <w:r w:rsidR="003D6ED4">
        <w:rPr>
          <w:rFonts w:ascii="Times New Roman" w:hAnsi="Times New Roman"/>
          <w:color w:val="000000" w:themeColor="text1"/>
          <w:sz w:val="24"/>
          <w:szCs w:val="24"/>
          <w:lang w:val="cs-CZ"/>
        </w:rPr>
        <w:t>ými požadavky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:rsidR="0011690E" w:rsidRPr="0011690E" w:rsidRDefault="0011690E" w:rsidP="0011690E">
      <w:pPr>
        <w:spacing w:after="209"/>
        <w:ind w:left="7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Důvodem k úpravě 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byl problém v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 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návaznosti ventilačních oken a použití průběžných spodních Al </w:t>
      </w:r>
      <w:proofErr w:type="gramStart"/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lišt </w:t>
      </w:r>
      <w:r w:rsidR="003D6ED4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a systémovému</w:t>
      </w:r>
      <w:proofErr w:type="gramEnd"/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Al ukončení světlíku.</w:t>
      </w:r>
      <w:r w:rsidR="00C40B56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Výškově by se prvky zasklívacího systému dostaly do kolize. Nebude řešeno kompletní výměnou ventilačních oken vč. rámu. Technické řešení využije stávající napínací systém přítlačných lišt, patní sestavu z nerez</w:t>
      </w:r>
      <w:r w:rsidR="00C40B56">
        <w:rPr>
          <w:rFonts w:ascii="Times New Roman" w:hAnsi="Times New Roman"/>
          <w:color w:val="000000" w:themeColor="text1"/>
          <w:sz w:val="24"/>
          <w:szCs w:val="24"/>
          <w:lang w:val="cs-CZ"/>
        </w:rPr>
        <w:t>ového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plechu </w:t>
      </w:r>
      <w:r w:rsidR="00C40B56">
        <w:rPr>
          <w:rFonts w:ascii="Times New Roman" w:hAnsi="Times New Roman"/>
          <w:color w:val="000000" w:themeColor="text1"/>
          <w:sz w:val="24"/>
          <w:szCs w:val="24"/>
          <w:lang w:val="cs-CZ"/>
        </w:rPr>
        <w:t>a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patek šroubovaných na Al </w:t>
      </w:r>
      <w:r w:rsidR="00C40B56">
        <w:rPr>
          <w:rFonts w:ascii="Times New Roman" w:hAnsi="Times New Roman"/>
          <w:color w:val="000000" w:themeColor="text1"/>
          <w:sz w:val="24"/>
          <w:szCs w:val="24"/>
          <w:lang w:val="cs-CZ"/>
        </w:rPr>
        <w:t>l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>i</w:t>
      </w:r>
      <w:r w:rsidR="00C40B56">
        <w:rPr>
          <w:rFonts w:ascii="Times New Roman" w:hAnsi="Times New Roman"/>
          <w:color w:val="000000" w:themeColor="text1"/>
          <w:sz w:val="24"/>
          <w:szCs w:val="24"/>
          <w:lang w:val="cs-CZ"/>
        </w:rPr>
        <w:t>š</w:t>
      </w: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ty.  </w:t>
      </w:r>
    </w:p>
    <w:p w:rsidR="00C40B56" w:rsidRDefault="00C40B56" w:rsidP="0011690E">
      <w:pPr>
        <w:ind w:left="754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11690E" w:rsidRPr="003D6ED4" w:rsidRDefault="0011690E" w:rsidP="0011690E">
      <w:pPr>
        <w:ind w:left="754"/>
        <w:rPr>
          <w:rFonts w:ascii="Times New Roman" w:hAnsi="Times New Roman" w:cs="Times New Roman"/>
          <w:color w:val="010302"/>
          <w:szCs w:val="24"/>
          <w:lang w:val="cs-CZ"/>
        </w:rPr>
      </w:pPr>
      <w:r w:rsidRPr="003D6ED4">
        <w:rPr>
          <w:rFonts w:ascii="Times New Roman" w:hAnsi="Times New Roman" w:cs="Times New Roman"/>
          <w:b/>
          <w:bCs/>
          <w:color w:val="000000"/>
          <w:szCs w:val="24"/>
          <w:lang w:val="cs-CZ"/>
        </w:rPr>
        <w:t xml:space="preserve">ZÁVAZNÉ TECHNICKÉ POŽADAVKY:  </w:t>
      </w:r>
    </w:p>
    <w:p w:rsidR="0011690E" w:rsidRPr="003D6ED4" w:rsidRDefault="0011690E" w:rsidP="0011690E">
      <w:pPr>
        <w:spacing w:before="40" w:line="200" w:lineRule="exact"/>
        <w:ind w:left="756"/>
        <w:rPr>
          <w:rFonts w:ascii="Times New Roman" w:hAnsi="Times New Roman" w:cs="Times New Roman"/>
          <w:color w:val="010302"/>
          <w:sz w:val="20"/>
          <w:szCs w:val="24"/>
          <w:lang w:val="cs-CZ"/>
        </w:rPr>
      </w:pPr>
      <w:r w:rsidRPr="003D6ED4">
        <w:rPr>
          <w:rFonts w:ascii="Times New Roman" w:hAnsi="Times New Roman" w:cs="Times New Roman"/>
          <w:color w:val="000000"/>
          <w:sz w:val="20"/>
          <w:szCs w:val="24"/>
          <w:lang w:val="cs-CZ"/>
        </w:rPr>
        <w:t xml:space="preserve">   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Al vrchní krycí lišty musí mít ve střední části výlisek zajišťující větší tuhost lišt. </w:t>
      </w:r>
    </w:p>
    <w:p w:rsidR="0011690E" w:rsidRPr="0011690E" w:rsidRDefault="0011690E" w:rsidP="0011690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důkladné utěsnění komůrek polykarbonátových desek, základní Al (levné) pásky nejsou </w:t>
      </w:r>
    </w:p>
    <w:p w:rsidR="0011690E" w:rsidRPr="0011690E" w:rsidRDefault="0011690E" w:rsidP="0011690E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vyhovující, vrchní část např. butylkaučuková Al páska, spodní strana prodyšná páska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kontrola těsnění v okapní části,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polykarbonátové desky </w:t>
      </w:r>
      <w:proofErr w:type="spellStart"/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>tl</w:t>
      </w:r>
      <w:proofErr w:type="spellEnd"/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16mm, PC desky v ploše oblouku musí mít originální hranu z výroby. Není přípustný podélný řez desky (snížení tuhosti v okraji)!!!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provádění opravy bude postupnou demontáží a montáží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zajištění materiálu proti větru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ochrana dotčených ploch a konstrukcí před poškozením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zajištění BOZP - zpracovat technologický postup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 požadavek instalace záchytných sítí mezi hlavní nosníky v ploše půdorysu. Záchytná síť </w:t>
      </w:r>
    </w:p>
    <w:p w:rsidR="0011690E" w:rsidRPr="0011690E" w:rsidRDefault="0011690E" w:rsidP="0011690E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bude doplněna o nenosnou plachtu proti pádu nečistot. 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zařízení staveniště a přístup na světlík je omezený prostor, je třeba počítat s náročnou </w:t>
      </w:r>
    </w:p>
    <w:p w:rsidR="0011690E" w:rsidRPr="0011690E" w:rsidRDefault="0011690E" w:rsidP="0011690E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denní manipulací dlouhých desek PC a lišt ze světlíku a na světlík  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koordinace s požadavky investora - vliv provozu zoo!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zařízení pracoviště – především ohrazení, oplocení pracoviště, průběžný úklid </w:t>
      </w:r>
    </w:p>
    <w:p w:rsidR="0011690E" w:rsidRPr="0011690E" w:rsidRDefault="0011690E" w:rsidP="0011690E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11690E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provizorní zabezpečení, úprava sítě a zpětná montáž sítě velké průchozí voliéry po dobu stavby</w:t>
      </w:r>
    </w:p>
    <w:p w:rsidR="0011690E" w:rsidRPr="0011690E" w:rsidRDefault="0011690E" w:rsidP="0011690E">
      <w:pPr>
        <w:spacing w:after="59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spacing w:before="40"/>
        <w:ind w:firstLine="720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  <w:r w:rsidRPr="001169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DETAIL č. 1 – ukončení oblouku – současný stav, repase napínacího systému </w:t>
      </w: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  <w:r w:rsidRPr="0011690E">
        <w:rPr>
          <w:rFonts w:ascii="Times New Roman" w:hAnsi="Times New Roman"/>
          <w:noProof/>
          <w:color w:val="000000" w:themeColor="text1"/>
          <w:sz w:val="24"/>
          <w:szCs w:val="24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077AE38D" wp14:editId="10784003">
            <wp:simplePos x="0" y="0"/>
            <wp:positionH relativeFrom="column">
              <wp:posOffset>452120</wp:posOffset>
            </wp:positionH>
            <wp:positionV relativeFrom="paragraph">
              <wp:posOffset>75565</wp:posOffset>
            </wp:positionV>
            <wp:extent cx="2422907" cy="2211070"/>
            <wp:effectExtent l="0" t="0" r="0" b="0"/>
            <wp:wrapThrough wrapText="bothSides">
              <wp:wrapPolygon edited="0">
                <wp:start x="0" y="0"/>
                <wp:lineTo x="0" y="21401"/>
                <wp:lineTo x="21402" y="21401"/>
                <wp:lineTo x="21402" y="0"/>
                <wp:lineTo x="0" y="0"/>
              </wp:wrapPolygon>
            </wp:wrapThrough>
            <wp:docPr id="513443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4394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907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spacing w:after="227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spacing w:after="227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spacing w:after="227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11690E" w:rsidRPr="0011690E" w:rsidRDefault="0011690E" w:rsidP="0011690E">
      <w:pPr>
        <w:spacing w:line="200" w:lineRule="exact"/>
        <w:ind w:left="759"/>
        <w:rPr>
          <w:rFonts w:ascii="Times New Roman" w:hAnsi="Times New Roman" w:cs="Times New Roman"/>
          <w:color w:val="010302"/>
          <w:sz w:val="24"/>
          <w:szCs w:val="24"/>
          <w:lang w:val="cs-CZ"/>
        </w:rPr>
        <w:sectPr w:rsidR="0011690E" w:rsidRPr="0011690E" w:rsidSect="0011690E">
          <w:pgSz w:w="11900" w:h="16840"/>
          <w:pgMar w:top="343" w:right="500" w:bottom="275" w:left="500" w:header="708" w:footer="708" w:gutter="0"/>
          <w:cols w:space="708"/>
          <w:docGrid w:linePitch="360"/>
        </w:sectPr>
      </w:pPr>
      <w:r w:rsidRPr="0011690E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vrchní Al lišta, umožňuje vložení těsnění EPDM, obsahuje středový prvek pro uchycení Al patek</w:t>
      </w:r>
      <w:r w:rsidRPr="0011690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1690E" w:rsidRPr="0011690E" w:rsidRDefault="0011690E" w:rsidP="0011690E">
      <w:pPr>
        <w:rPr>
          <w:sz w:val="24"/>
          <w:szCs w:val="24"/>
          <w:lang w:val="cs-CZ"/>
        </w:rPr>
      </w:pPr>
      <w:r w:rsidRPr="0011690E">
        <w:rPr>
          <w:noProof/>
          <w:sz w:val="24"/>
          <w:szCs w:val="24"/>
          <w:lang w:val="cs-CZ"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703C77DF" wp14:editId="5ACF9C79">
            <wp:simplePos x="0" y="0"/>
            <wp:positionH relativeFrom="page">
              <wp:posOffset>807720</wp:posOffset>
            </wp:positionH>
            <wp:positionV relativeFrom="line">
              <wp:posOffset>86996</wp:posOffset>
            </wp:positionV>
            <wp:extent cx="2217420" cy="46328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7680" cy="46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0C9" w:rsidRPr="0011690E" w:rsidRDefault="00066686">
      <w:pPr>
        <w:rPr>
          <w:sz w:val="24"/>
          <w:szCs w:val="24"/>
        </w:rPr>
      </w:pPr>
    </w:p>
    <w:sectPr w:rsidR="00B650C9" w:rsidRPr="0011690E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CA7"/>
    <w:multiLevelType w:val="hybridMultilevel"/>
    <w:tmpl w:val="0F2C8854"/>
    <w:lvl w:ilvl="0" w:tplc="748E0BFE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7468548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040A2BCC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BD32A19A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091A67E6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67D4998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6D4ED61E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F0406700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FD86C57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0E"/>
    <w:rsid w:val="00066686"/>
    <w:rsid w:val="0011690E"/>
    <w:rsid w:val="003A18C8"/>
    <w:rsid w:val="003D6ED4"/>
    <w:rsid w:val="008C737B"/>
    <w:rsid w:val="00C40B56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1690E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90E"/>
  </w:style>
  <w:style w:type="paragraph" w:styleId="Bezmezer">
    <w:name w:val="No Spacing"/>
    <w:uiPriority w:val="1"/>
    <w:qFormat/>
    <w:rsid w:val="00C40B56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1690E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90E"/>
  </w:style>
  <w:style w:type="paragraph" w:styleId="Bezmezer">
    <w:name w:val="No Spacing"/>
    <w:uiPriority w:val="1"/>
    <w:qFormat/>
    <w:rsid w:val="00C40B5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Petr.Jiricka</dc:creator>
  <cp:lastModifiedBy>Simona.Jirickova</cp:lastModifiedBy>
  <cp:revision>2</cp:revision>
  <dcterms:created xsi:type="dcterms:W3CDTF">2025-09-01T08:22:00Z</dcterms:created>
  <dcterms:modified xsi:type="dcterms:W3CDTF">2025-09-01T08:22:00Z</dcterms:modified>
</cp:coreProperties>
</file>