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PÍSEMNÁ ZPRÁVA ZADAVATELE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zakázka s názvem: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Dodávka elektřiny na období 01.01.2026 – 31.12.2027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Zadavatel: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Královéhradecký kraj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Zapsán v Registru ekonomických subjektů, ČSÚ</w:t>
      </w:r>
      <w:r>
        <w:rPr>
          <w:rFonts w:ascii="Arial" w:hAnsi="Arial" w:cs="Arial"/>
          <w:sz w:val="20"/>
          <w:szCs w:val="20"/>
        </w:rPr>
        <w:br/>
        <w:t xml:space="preserve">Sídlo: Pivovarské náměstí 1245, 500 03 Hradec Králové </w:t>
      </w:r>
      <w:r>
        <w:rPr>
          <w:rFonts w:ascii="Arial" w:hAnsi="Arial" w:cs="Arial"/>
          <w:sz w:val="20"/>
          <w:szCs w:val="20"/>
        </w:rPr>
        <w:br/>
        <w:t>IČO: 70889546</w:t>
      </w:r>
      <w:r>
        <w:rPr>
          <w:rFonts w:ascii="Arial" w:hAnsi="Arial" w:cs="Arial"/>
          <w:sz w:val="20"/>
          <w:szCs w:val="20"/>
        </w:rPr>
        <w:br/>
        <w:t>DIČ: CZ70889546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Klasifikace předmětu veřejné zakázky: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Elektrická </w:t>
      </w:r>
      <w:proofErr w:type="gramStart"/>
      <w:r>
        <w:rPr>
          <w:rFonts w:ascii="Arial" w:hAnsi="Arial" w:cs="Arial"/>
          <w:sz w:val="20"/>
          <w:szCs w:val="20"/>
        </w:rPr>
        <w:t>energie - kód</w:t>
      </w:r>
      <w:proofErr w:type="gramEnd"/>
      <w:r>
        <w:rPr>
          <w:rFonts w:ascii="Arial" w:hAnsi="Arial" w:cs="Arial"/>
          <w:sz w:val="20"/>
          <w:szCs w:val="20"/>
        </w:rPr>
        <w:t xml:space="preserve"> CPV: 09310000-5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Předpokládaná hodnota zakázky je 79 774 695 Kč.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zakázky: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veřejné zakázky: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První část veřejné zakázky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Dodávka elektřiny v rámci sdružených služeb dodávky elektřiny v napěťové hladině nízkého napětí na období 01.01.2026 – 31.12.2027 v předpokládaném množství 33 033 </w:t>
      </w:r>
      <w:proofErr w:type="spellStart"/>
      <w:r>
        <w:rPr>
          <w:rFonts w:ascii="Arial" w:hAnsi="Arial" w:cs="Arial"/>
          <w:sz w:val="20"/>
          <w:szCs w:val="20"/>
        </w:rPr>
        <w:t>MWh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dodávku elektřiny je 2 415 Kč/</w:t>
      </w:r>
      <w:proofErr w:type="spellStart"/>
      <w:r>
        <w:rPr>
          <w:rFonts w:ascii="Arial" w:hAnsi="Arial" w:cs="Arial"/>
          <w:sz w:val="20"/>
          <w:szCs w:val="20"/>
        </w:rPr>
        <w:t>MWh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Pražská plynárenská, a. s. </w:t>
      </w:r>
      <w:r>
        <w:rPr>
          <w:rFonts w:ascii="Arial" w:hAnsi="Arial" w:cs="Arial"/>
          <w:sz w:val="20"/>
          <w:szCs w:val="20"/>
        </w:rPr>
        <w:br/>
        <w:t>Zapsán v: OR vedeném Městským soudem v Praze, oddíl B, vložka 2337</w:t>
      </w:r>
      <w:r>
        <w:rPr>
          <w:rFonts w:ascii="Arial" w:hAnsi="Arial" w:cs="Arial"/>
          <w:sz w:val="20"/>
          <w:szCs w:val="20"/>
        </w:rPr>
        <w:br/>
        <w:t xml:space="preserve">Sídlo: Národní 37, 110 00 Praha 1 - Nové Město </w:t>
      </w:r>
      <w:r>
        <w:rPr>
          <w:rFonts w:ascii="Arial" w:hAnsi="Arial" w:cs="Arial"/>
          <w:sz w:val="20"/>
          <w:szCs w:val="20"/>
        </w:rPr>
        <w:br/>
        <w:t>IČO: 60193492 DIČ: CZ60193492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(závěrkový list) byla s uvedeným uchazečem uzavřena z důvodu předložení nejnižší nabídkové ceny.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Předpokládaná hodnota dle smlouvy je 79 774 695 Kč.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POUŽITÝ DRUH ZADÁVACÍHO ŘÍZENÍ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Jednací řízení bez uveřejnění dle § 64 písm. c) zákona č. 134/2016 Sb., o zadávání veřejných zakázek (nákup komodity na komoditní burze).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OZNAČENÍ ÚČASTNÍKŮ ZADÁVACÍHO ŘÍZENÍ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 ve smyslu zákona č. 229/1992 Sb., o komoditních burzách.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centrum eviduje pro komoditu elektřina 16 zaregistrovaných dodavatelů.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OZNAČENÍ VŠECH VYLOUČENÝCH ÚČASTNÍKŮ ZADÁVACÍHO ŘÍZENÍ S UVEDENÍM DŮVODU JEJICH VYLOUČENÍ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OZNAČENÍ PODDODAVATELŮ DODAVATELŮ PODLE PÍSMENE E), POKUD JSOU ZADAVATELI ZNÁMI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POUŽITÍ JEDNACÍHO ŘÍZENÍ S UVEŘEJNĚNÍM NEBO ŘÍZENÍ SE SOUTĚŽNÍM DIALOGEM, BYLA-LI POUŽITA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POUŽITÍ JEDNACÍHO ŘÍZENÍ BEZ UVEŘEJNĚNÍ, BYLO-LI POUŽITO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nakoupil dodávky komodity na Českomoravské komoditní burze Kladno (dále jen „ČMKB“) v souladu s § 64 písm. c) zákona.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POUŽITÍ ZJEDNODUŠENÉHO REŽIMU, BYLO-LI POUŽITO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ZRUŠENÍ ZADÁVACÍHO ŘÍZENÍ NEBO NEZAVEDENÍ DYNAMICKÉHO NÁKUPNÍHO SYSTÉMU, POKUD K TOMUTO DOŠLO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POUŽITÍ JINÝCH KOMUNIKAČNÍCH PROSTŘEDKŮ PŘI PODÁNÍ NABÍDKY NAMÍSTO ELEKTRONICKÝCH PROSTŘEDKŮ, BYLY-LI JINÉ PROSTŘEDKY POUŽITY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SOUPIS OSOB, U KTERÝCH BYL ZJIŠTĚN STŘET ZÁJMŮ, A NÁSLEDNĚ PŘIJATÝCH OPATŘENÍ, BYL-LI STŘET ZÁJMŮ ZJIŠTĚN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ODŮVODNĚNÍ STANOVENÍ POŽADAVKU NA PROKÁZÁNÍ OBRATU V PŘÍPADĚ POSTUPU PODLE § 78 ODST. 3, POKUD JE NEUVEDL V ZADÁVACÍ DOKUMENTACI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uplatněno.</w:t>
      </w:r>
    </w:p>
    <w:p w:rsidR="00631364" w:rsidRDefault="00631364" w:rsidP="00631364">
      <w:pPr>
        <w:pStyle w:val="Normlnweb"/>
        <w:spacing w:before="340" w:beforeAutospacing="0" w:after="340" w:afterAutospacing="0"/>
        <w:ind w:left="56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V ................................................ dne ........................</w:t>
      </w:r>
    </w:p>
    <w:p w:rsidR="00631364" w:rsidRDefault="00631364" w:rsidP="00631364">
      <w:pPr>
        <w:pStyle w:val="Normlnweb"/>
        <w:spacing w:before="340" w:beforeAutospacing="0" w:after="340" w:afterAutospacing="0"/>
        <w:ind w:left="4536" w:right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  <w:t>Královéhradecký kraj</w:t>
      </w:r>
    </w:p>
    <w:p w:rsidR="00511F5F" w:rsidRDefault="00511F5F"/>
    <w:sectPr w:rsidR="00511F5F" w:rsidSect="005923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64"/>
    <w:rsid w:val="002D73FE"/>
    <w:rsid w:val="00477C9D"/>
    <w:rsid w:val="00511F5F"/>
    <w:rsid w:val="00592318"/>
    <w:rsid w:val="00631364"/>
    <w:rsid w:val="00704D78"/>
    <w:rsid w:val="00AD06E2"/>
    <w:rsid w:val="00C8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26073FD-09D4-B34E-8E53-22F15AF5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1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1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1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1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1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13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13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3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13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3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13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1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13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1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13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13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13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1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13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136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313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Tabačárová</dc:creator>
  <cp:keywords/>
  <dc:description/>
  <cp:lastModifiedBy>Kateřina Tabačárová</cp:lastModifiedBy>
  <cp:revision>2</cp:revision>
  <dcterms:created xsi:type="dcterms:W3CDTF">2025-07-24T08:00:00Z</dcterms:created>
  <dcterms:modified xsi:type="dcterms:W3CDTF">2025-07-24T08:01:00Z</dcterms:modified>
</cp:coreProperties>
</file>