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D6" w:rsidRDefault="006777D6" w:rsidP="006777D6">
      <w:pPr>
        <w:pStyle w:val="Default"/>
      </w:pPr>
    </w:p>
    <w:p w:rsidR="006777D6" w:rsidRPr="006777D6" w:rsidRDefault="006777D6" w:rsidP="006777D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6777D6">
        <w:rPr>
          <w:rFonts w:asciiTheme="minorHAnsi" w:hAnsiTheme="minorHAnsi" w:cstheme="minorHAnsi"/>
          <w:b/>
          <w:bCs/>
          <w:sz w:val="28"/>
          <w:szCs w:val="28"/>
        </w:rPr>
        <w:t>PÍSEMNÁ ZPRÁVA ZADAVATELE</w:t>
      </w:r>
    </w:p>
    <w:p w:rsidR="006777D6" w:rsidRPr="006777D6" w:rsidRDefault="006777D6" w:rsidP="006777D6">
      <w:pPr>
        <w:pStyle w:val="Default"/>
        <w:jc w:val="center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>(vyhotovená v souladu s § 217 zákona č. 134/2016 Sb., o zadávání veřejných zakázek (dále jen „ZZVZ“))</w:t>
      </w:r>
    </w:p>
    <w:p w:rsidR="006777D6" w:rsidRPr="00C20E11" w:rsidRDefault="00C20E11" w:rsidP="006777D6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„</w:t>
      </w:r>
      <w:r w:rsidR="004624FB" w:rsidRPr="004624FB">
        <w:rPr>
          <w:rFonts w:asciiTheme="minorHAnsi" w:hAnsiTheme="minorHAnsi" w:cstheme="minorHAnsi"/>
          <w:b/>
          <w:sz w:val="28"/>
          <w:szCs w:val="32"/>
        </w:rPr>
        <w:t xml:space="preserve">Vybavení Krajského digitalizačního centra </w:t>
      </w:r>
      <w:r w:rsidR="00061066">
        <w:rPr>
          <w:rFonts w:asciiTheme="minorHAnsi" w:hAnsiTheme="minorHAnsi" w:cstheme="minorHAnsi"/>
          <w:b/>
          <w:sz w:val="28"/>
          <w:szCs w:val="32"/>
        </w:rPr>
        <w:t>2025</w:t>
      </w:r>
      <w:r w:rsidR="004624FB" w:rsidRPr="004624FB">
        <w:rPr>
          <w:rFonts w:asciiTheme="minorHAnsi" w:hAnsiTheme="minorHAnsi" w:cstheme="minorHAnsi"/>
          <w:b/>
          <w:sz w:val="28"/>
          <w:szCs w:val="32"/>
        </w:rPr>
        <w:t xml:space="preserve"> –</w:t>
      </w:r>
      <w:r w:rsidR="001A0242">
        <w:rPr>
          <w:rFonts w:asciiTheme="minorHAnsi" w:hAnsiTheme="minorHAnsi" w:cstheme="minorHAnsi"/>
          <w:b/>
          <w:sz w:val="28"/>
          <w:szCs w:val="32"/>
        </w:rPr>
        <w:t xml:space="preserve"> </w:t>
      </w:r>
      <w:r w:rsidR="004624FB" w:rsidRPr="004624FB">
        <w:rPr>
          <w:rFonts w:asciiTheme="minorHAnsi" w:hAnsiTheme="minorHAnsi" w:cstheme="minorHAnsi"/>
          <w:b/>
          <w:sz w:val="28"/>
          <w:szCs w:val="32"/>
        </w:rPr>
        <w:t>datové úložiště</w:t>
      </w:r>
      <w:r>
        <w:rPr>
          <w:rFonts w:asciiTheme="minorHAnsi" w:hAnsiTheme="minorHAnsi" w:cstheme="minorHAnsi"/>
          <w:b/>
        </w:rPr>
        <w:t>“</w:t>
      </w:r>
    </w:p>
    <w:p w:rsidR="006777D6" w:rsidRPr="006777D6" w:rsidRDefault="006777D6" w:rsidP="006777D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numPr>
          <w:ilvl w:val="0"/>
          <w:numId w:val="1"/>
        </w:numPr>
        <w:ind w:left="426"/>
        <w:rPr>
          <w:rFonts w:asciiTheme="minorHAnsi" w:hAnsiTheme="minorHAnsi" w:cstheme="minorHAnsi"/>
          <w:b/>
          <w:bCs/>
        </w:rPr>
      </w:pPr>
      <w:r w:rsidRPr="006777D6">
        <w:rPr>
          <w:rFonts w:asciiTheme="minorHAnsi" w:hAnsiTheme="minorHAnsi" w:cstheme="minorHAnsi"/>
          <w:b/>
          <w:bCs/>
        </w:rPr>
        <w:t xml:space="preserve">Označení zadavatele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Muzeum východních Čech v Hradci Králové</w:t>
            </w:r>
          </w:p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00088382</w:t>
            </w:r>
          </w:p>
        </w:tc>
      </w:tr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noProof/>
                <w:sz w:val="24"/>
                <w:szCs w:val="24"/>
                <w:lang w:eastAsia="cs-CZ"/>
              </w:rPr>
              <w:t>Eliščino nábřeží 465, 500 03 Hradec Králové 3</w:t>
            </w:r>
          </w:p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noProof/>
                <w:sz w:val="24"/>
                <w:szCs w:val="24"/>
                <w:lang w:eastAsia="cs-CZ"/>
              </w:rPr>
              <w:t>doc. Mgr. Petr Grulich, Ph.D.</w:t>
            </w:r>
          </w:p>
        </w:tc>
      </w:tr>
    </w:tbl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2. Předmět veřejné zakázky </w:t>
      </w:r>
    </w:p>
    <w:p w:rsidR="004624FB" w:rsidRDefault="00C20E11" w:rsidP="004624F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C20E11">
        <w:rPr>
          <w:rFonts w:cstheme="minorHAnsi"/>
          <w:sz w:val="24"/>
          <w:szCs w:val="24"/>
        </w:rPr>
        <w:t xml:space="preserve">Předmětem této veřejné zakázky je dodávka nového (nikoliv repasovaného) </w:t>
      </w:r>
      <w:r w:rsidR="004624FB" w:rsidRPr="004624FB">
        <w:rPr>
          <w:rFonts w:cstheme="minorHAnsi"/>
          <w:sz w:val="24"/>
          <w:szCs w:val="24"/>
        </w:rPr>
        <w:t xml:space="preserve">serveru a datového úložiště s cílem vybavit pracoviště krajského digitalizačního centra </w:t>
      </w:r>
    </w:p>
    <w:p w:rsidR="004624FB" w:rsidRDefault="004624FB" w:rsidP="004624FB">
      <w:pPr>
        <w:pStyle w:val="Zkladntext"/>
        <w:rPr>
          <w:rFonts w:asciiTheme="minorHAnsi" w:hAnsiTheme="minorHAnsi" w:cstheme="minorHAnsi"/>
          <w:szCs w:val="24"/>
        </w:rPr>
      </w:pPr>
      <w:r w:rsidRPr="00C6002B">
        <w:rPr>
          <w:rFonts w:asciiTheme="minorHAnsi" w:hAnsiTheme="minorHAnsi" w:cstheme="minorHAnsi"/>
          <w:szCs w:val="24"/>
        </w:rPr>
        <w:t xml:space="preserve">48823000-3 </w:t>
      </w:r>
      <w:r w:rsidRPr="00C6002B">
        <w:rPr>
          <w:rFonts w:asciiTheme="minorHAnsi" w:hAnsiTheme="minorHAnsi" w:cstheme="minorHAnsi"/>
          <w:szCs w:val="24"/>
        </w:rPr>
        <w:tab/>
        <w:t>Souborové</w:t>
      </w:r>
      <w:r>
        <w:rPr>
          <w:rFonts w:asciiTheme="minorHAnsi" w:hAnsiTheme="minorHAnsi" w:cstheme="minorHAnsi"/>
          <w:szCs w:val="24"/>
        </w:rPr>
        <w:t xml:space="preserve"> servery</w:t>
      </w:r>
    </w:p>
    <w:p w:rsidR="0054413B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  <w:r w:rsidRPr="007A1915">
        <w:rPr>
          <w:rFonts w:asciiTheme="minorHAnsi" w:hAnsiTheme="minorHAnsi" w:cstheme="minorHAnsi"/>
          <w:szCs w:val="24"/>
        </w:rPr>
        <w:t xml:space="preserve">„Financováno Evropskou unií – </w:t>
      </w:r>
      <w:proofErr w:type="spellStart"/>
      <w:r w:rsidRPr="007A1915">
        <w:rPr>
          <w:rFonts w:asciiTheme="minorHAnsi" w:hAnsiTheme="minorHAnsi" w:cstheme="minorHAnsi"/>
          <w:szCs w:val="24"/>
        </w:rPr>
        <w:t>Next</w:t>
      </w:r>
      <w:proofErr w:type="spellEnd"/>
      <w:r w:rsidRPr="007A1915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A1915">
        <w:rPr>
          <w:rFonts w:asciiTheme="minorHAnsi" w:hAnsiTheme="minorHAnsi" w:cstheme="minorHAnsi"/>
          <w:szCs w:val="24"/>
        </w:rPr>
        <w:t>generation</w:t>
      </w:r>
      <w:proofErr w:type="spellEnd"/>
      <w:r w:rsidRPr="007A1915">
        <w:rPr>
          <w:rFonts w:asciiTheme="minorHAnsi" w:hAnsiTheme="minorHAnsi" w:cstheme="minorHAnsi"/>
          <w:szCs w:val="24"/>
        </w:rPr>
        <w:t xml:space="preserve">“, </w:t>
      </w: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  <w:r w:rsidRPr="007A1915">
        <w:rPr>
          <w:rFonts w:asciiTheme="minorHAnsi" w:hAnsiTheme="minorHAnsi" w:cstheme="minorHAnsi"/>
          <w:szCs w:val="24"/>
        </w:rPr>
        <w:t xml:space="preserve">Národní plán obnovy – iniciativa Digitalizace kulturního a kreativního sektoru, </w:t>
      </w: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projekt</w:t>
      </w:r>
      <w:r w:rsidRPr="007A1915">
        <w:rPr>
          <w:rFonts w:asciiTheme="minorHAnsi" w:hAnsiTheme="minorHAnsi" w:cstheme="minorHAnsi"/>
          <w:szCs w:val="24"/>
        </w:rPr>
        <w:t xml:space="preserve">: </w:t>
      </w: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061066" w:rsidRDefault="00061066" w:rsidP="00061066">
      <w:pPr>
        <w:pStyle w:val="Zkladntext"/>
        <w:jc w:val="center"/>
        <w:rPr>
          <w:rFonts w:asciiTheme="minorHAnsi" w:hAnsiTheme="minorHAnsi" w:cstheme="minorHAnsi"/>
          <w:szCs w:val="24"/>
          <w:lang w:eastAsia="cs-CZ"/>
        </w:rPr>
      </w:pPr>
      <w:r w:rsidRPr="00917EE2">
        <w:rPr>
          <w:rFonts w:asciiTheme="minorHAnsi" w:hAnsiTheme="minorHAnsi" w:cstheme="minorHAnsi"/>
          <w:szCs w:val="24"/>
          <w:lang w:eastAsia="cs-CZ"/>
        </w:rPr>
        <w:t xml:space="preserve">„Rozvoj digitální dokumentace sbírkových předmětů muzejní povahy Královéhradeckého kraje III“, </w:t>
      </w:r>
      <w:proofErr w:type="spellStart"/>
      <w:r w:rsidRPr="00917EE2">
        <w:rPr>
          <w:rFonts w:asciiTheme="minorHAnsi" w:hAnsiTheme="minorHAnsi" w:cstheme="minorHAnsi"/>
          <w:szCs w:val="24"/>
          <w:lang w:eastAsia="cs-CZ"/>
        </w:rPr>
        <w:t>reg</w:t>
      </w:r>
      <w:proofErr w:type="spellEnd"/>
      <w:r w:rsidRPr="00917EE2">
        <w:rPr>
          <w:rFonts w:asciiTheme="minorHAnsi" w:hAnsiTheme="minorHAnsi" w:cstheme="minorHAnsi"/>
          <w:szCs w:val="24"/>
          <w:lang w:eastAsia="cs-CZ"/>
        </w:rPr>
        <w:t xml:space="preserve">. </w:t>
      </w:r>
      <w:proofErr w:type="gramStart"/>
      <w:r w:rsidRPr="00917EE2">
        <w:rPr>
          <w:rFonts w:asciiTheme="minorHAnsi" w:hAnsiTheme="minorHAnsi" w:cstheme="minorHAnsi"/>
          <w:szCs w:val="24"/>
          <w:lang w:eastAsia="cs-CZ"/>
        </w:rPr>
        <w:t>č.</w:t>
      </w:r>
      <w:proofErr w:type="gramEnd"/>
      <w:r w:rsidRPr="00917EE2">
        <w:rPr>
          <w:rFonts w:asciiTheme="minorHAnsi" w:hAnsiTheme="minorHAnsi" w:cstheme="minorHAnsi"/>
          <w:szCs w:val="24"/>
          <w:lang w:eastAsia="cs-CZ"/>
        </w:rPr>
        <w:t xml:space="preserve"> 0442000090“,</w:t>
      </w:r>
    </w:p>
    <w:p w:rsidR="00061066" w:rsidRPr="00C05725" w:rsidRDefault="00061066" w:rsidP="00061066">
      <w:pPr>
        <w:pStyle w:val="Zkladntext"/>
        <w:jc w:val="center"/>
        <w:rPr>
          <w:rFonts w:asciiTheme="minorHAnsi" w:hAnsiTheme="minorHAnsi" w:cstheme="minorHAnsi"/>
          <w:szCs w:val="24"/>
        </w:rPr>
      </w:pPr>
      <w:r w:rsidRPr="00917EE2">
        <w:rPr>
          <w:rFonts w:asciiTheme="minorHAnsi" w:hAnsiTheme="minorHAnsi" w:cstheme="minorHAnsi"/>
          <w:szCs w:val="24"/>
          <w:lang w:eastAsia="cs-CZ"/>
        </w:rPr>
        <w:t xml:space="preserve">„Rozvoj 2D digitalizace sbírkových předmětů muzejní povahy Královéhradeckého kraje III“, </w:t>
      </w:r>
      <w:proofErr w:type="spellStart"/>
      <w:r w:rsidRPr="00917EE2">
        <w:rPr>
          <w:rFonts w:asciiTheme="minorHAnsi" w:hAnsiTheme="minorHAnsi" w:cstheme="minorHAnsi"/>
          <w:szCs w:val="24"/>
          <w:lang w:eastAsia="cs-CZ"/>
        </w:rPr>
        <w:t>reg</w:t>
      </w:r>
      <w:proofErr w:type="spellEnd"/>
      <w:r w:rsidRPr="00917EE2">
        <w:rPr>
          <w:rFonts w:asciiTheme="minorHAnsi" w:hAnsiTheme="minorHAnsi" w:cstheme="minorHAnsi"/>
          <w:szCs w:val="24"/>
          <w:lang w:eastAsia="cs-CZ"/>
        </w:rPr>
        <w:t xml:space="preserve">. </w:t>
      </w:r>
      <w:proofErr w:type="gramStart"/>
      <w:r w:rsidRPr="00917EE2">
        <w:rPr>
          <w:rFonts w:asciiTheme="minorHAnsi" w:hAnsiTheme="minorHAnsi" w:cstheme="minorHAnsi"/>
          <w:szCs w:val="24"/>
          <w:lang w:eastAsia="cs-CZ"/>
        </w:rPr>
        <w:t>č.</w:t>
      </w:r>
      <w:proofErr w:type="gramEnd"/>
      <w:r w:rsidRPr="00917EE2">
        <w:rPr>
          <w:rFonts w:asciiTheme="minorHAnsi" w:hAnsiTheme="minorHAnsi" w:cstheme="minorHAnsi"/>
          <w:szCs w:val="24"/>
          <w:lang w:eastAsia="cs-CZ"/>
        </w:rPr>
        <w:t xml:space="preserve"> 0442000092“ .</w:t>
      </w:r>
    </w:p>
    <w:p w:rsidR="001A0242" w:rsidRPr="00C05725" w:rsidRDefault="001A0242" w:rsidP="001A0242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54413B" w:rsidRPr="007A1915" w:rsidRDefault="0054413B" w:rsidP="004624FB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54413B" w:rsidRPr="006777D6" w:rsidRDefault="0054413B" w:rsidP="006777D6">
      <w:pPr>
        <w:pStyle w:val="Default"/>
        <w:rPr>
          <w:rFonts w:asciiTheme="minorHAnsi" w:hAnsiTheme="minorHAnsi" w:cstheme="minorHAnsi"/>
          <w:b/>
          <w:bCs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3. Cena sjednaná ve smlouvě na VZ </w:t>
      </w:r>
    </w:p>
    <w:p w:rsidR="006777D6" w:rsidRDefault="00061066" w:rsidP="006777D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1A02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349</w:t>
      </w:r>
      <w:r w:rsidR="001A0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10</w:t>
      </w:r>
      <w:r w:rsidR="001A0242">
        <w:rPr>
          <w:rFonts w:asciiTheme="minorHAnsi" w:hAnsiTheme="minorHAnsi" w:cstheme="minorHAnsi"/>
        </w:rPr>
        <w:t>0</w:t>
      </w:r>
      <w:r w:rsidR="00C20E11">
        <w:rPr>
          <w:rFonts w:asciiTheme="minorHAnsi" w:hAnsiTheme="minorHAnsi" w:cstheme="minorHAnsi"/>
        </w:rPr>
        <w:t>,- Kč bez DPH</w:t>
      </w:r>
    </w:p>
    <w:p w:rsidR="00C20E11" w:rsidRPr="006777D6" w:rsidRDefault="00C20E11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4. Druh zadávacího řízení </w:t>
      </w:r>
      <w:bookmarkStart w:id="0" w:name="_GoBack"/>
      <w:bookmarkEnd w:id="0"/>
    </w:p>
    <w:p w:rsidR="00C20E11" w:rsidRDefault="00C20E11" w:rsidP="00C20E11">
      <w:pPr>
        <w:keepNext/>
        <w:keepLines/>
        <w:spacing w:line="276" w:lineRule="auto"/>
        <w:ind w:left="2835" w:hanging="283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F578F2">
        <w:rPr>
          <w:rFonts w:cstheme="minorHAnsi"/>
          <w:sz w:val="24"/>
          <w:szCs w:val="24"/>
        </w:rPr>
        <w:t>adlimitní veřejná zakázka</w:t>
      </w:r>
      <w:r>
        <w:rPr>
          <w:rFonts w:cstheme="minorHAnsi"/>
          <w:sz w:val="24"/>
          <w:szCs w:val="24"/>
        </w:rPr>
        <w:t>, otevřené řízení.</w:t>
      </w:r>
    </w:p>
    <w:p w:rsidR="006777D6" w:rsidRPr="00C20E11" w:rsidRDefault="006777D6" w:rsidP="00C20E11">
      <w:pPr>
        <w:keepNext/>
        <w:keepLines/>
        <w:spacing w:line="276" w:lineRule="auto"/>
        <w:ind w:left="2835" w:hanging="2835"/>
        <w:rPr>
          <w:rFonts w:cstheme="minorHAnsi"/>
          <w:sz w:val="24"/>
          <w:szCs w:val="24"/>
        </w:rPr>
      </w:pPr>
      <w:r w:rsidRPr="00C20E11">
        <w:rPr>
          <w:rFonts w:cstheme="minorHAnsi"/>
          <w:sz w:val="24"/>
          <w:szCs w:val="24"/>
        </w:rPr>
        <w:t xml:space="preserve">Evidenční číslo zakázky ve Věstníku VZ je </w:t>
      </w:r>
      <w:r w:rsidR="00061066" w:rsidRPr="00061066">
        <w:rPr>
          <w:rFonts w:cstheme="minorHAnsi"/>
          <w:sz w:val="24"/>
          <w:szCs w:val="24"/>
        </w:rPr>
        <w:t>Z2025-030785</w:t>
      </w:r>
      <w:r w:rsidRPr="00C20E11">
        <w:rPr>
          <w:rFonts w:cstheme="minorHAnsi"/>
          <w:sz w:val="24"/>
          <w:szCs w:val="24"/>
        </w:rPr>
        <w:t xml:space="preserve">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  <w:b/>
          <w:bCs/>
        </w:rPr>
      </w:pPr>
      <w:r w:rsidRPr="006777D6">
        <w:rPr>
          <w:rFonts w:asciiTheme="minorHAnsi" w:hAnsiTheme="minorHAnsi" w:cstheme="minorHAnsi"/>
          <w:b/>
          <w:bCs/>
        </w:rPr>
        <w:t xml:space="preserve">5. Označení účastníků zadávacího řízení </w:t>
      </w:r>
    </w:p>
    <w:p w:rsidR="001A0242" w:rsidRDefault="004624FB" w:rsidP="001A0242">
      <w:pPr>
        <w:pStyle w:val="Default"/>
        <w:ind w:left="705" w:hanging="705"/>
        <w:rPr>
          <w:rFonts w:asciiTheme="minorHAnsi" w:hAnsiTheme="minorHAnsi" w:cstheme="minorHAnsi"/>
        </w:rPr>
      </w:pPr>
      <w:r w:rsidRPr="004624FB">
        <w:rPr>
          <w:rFonts w:asciiTheme="minorHAnsi" w:hAnsiTheme="minorHAnsi" w:cstheme="minorHAnsi"/>
        </w:rPr>
        <w:lastRenderedPageBreak/>
        <w:t>1.</w:t>
      </w:r>
      <w:r w:rsidRPr="004624FB">
        <w:rPr>
          <w:rFonts w:asciiTheme="minorHAnsi" w:hAnsiTheme="minorHAnsi" w:cstheme="minorHAnsi"/>
        </w:rPr>
        <w:tab/>
      </w:r>
      <w:proofErr w:type="spellStart"/>
      <w:r w:rsidR="001A0242" w:rsidRPr="001A0242">
        <w:rPr>
          <w:rFonts w:asciiTheme="minorHAnsi" w:hAnsiTheme="minorHAnsi" w:cstheme="minorHAnsi"/>
        </w:rPr>
        <w:t>Aricoma</w:t>
      </w:r>
      <w:proofErr w:type="spellEnd"/>
      <w:r w:rsidR="001A0242" w:rsidRPr="001A0242">
        <w:rPr>
          <w:rFonts w:asciiTheme="minorHAnsi" w:hAnsiTheme="minorHAnsi" w:cstheme="minorHAnsi"/>
        </w:rPr>
        <w:t xml:space="preserve"> Systems a.s., IČ: 04308697</w:t>
      </w:r>
      <w:r w:rsidR="001A0242">
        <w:rPr>
          <w:rFonts w:asciiTheme="minorHAnsi" w:hAnsiTheme="minorHAnsi" w:cstheme="minorHAnsi"/>
        </w:rPr>
        <w:t>,</w:t>
      </w:r>
      <w:r w:rsidR="001A0242" w:rsidRPr="001A0242">
        <w:rPr>
          <w:rFonts w:asciiTheme="minorHAnsi" w:hAnsiTheme="minorHAnsi" w:cstheme="minorHAnsi"/>
        </w:rPr>
        <w:tab/>
        <w:t>Hornopolní 3322/34, 702 00 Ostrava</w:t>
      </w:r>
    </w:p>
    <w:p w:rsidR="004624FB" w:rsidRPr="006777D6" w:rsidRDefault="004624FB" w:rsidP="004624FB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6. Označení vyloučených účastníků zadávacího řízení a odůvodnění jejich vyloučení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Nebyl vyloučen žádný účastník.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7. Označení vybraného dodavatele a odůvodnění jeho výběru </w:t>
      </w:r>
    </w:p>
    <w:p w:rsidR="006777D6" w:rsidRDefault="00C20E11" w:rsidP="006777D6">
      <w:pPr>
        <w:pStyle w:val="Default"/>
        <w:rPr>
          <w:rFonts w:asciiTheme="minorHAnsi" w:hAnsiTheme="minorHAnsi" w:cstheme="minorHAnsi"/>
        </w:rPr>
      </w:pPr>
      <w:r w:rsidRPr="00C20E11">
        <w:rPr>
          <w:rFonts w:asciiTheme="minorHAnsi" w:hAnsiTheme="minorHAnsi" w:cstheme="minorHAnsi"/>
        </w:rPr>
        <w:t xml:space="preserve">Na základě </w:t>
      </w:r>
      <w:r w:rsidR="001A0242">
        <w:rPr>
          <w:rFonts w:asciiTheme="minorHAnsi" w:hAnsiTheme="minorHAnsi" w:cstheme="minorHAnsi"/>
        </w:rPr>
        <w:t xml:space="preserve">posouzení </w:t>
      </w:r>
      <w:r w:rsidRPr="00C20E11">
        <w:rPr>
          <w:rFonts w:asciiTheme="minorHAnsi" w:hAnsiTheme="minorHAnsi" w:cstheme="minorHAnsi"/>
        </w:rPr>
        <w:t>nabíd</w:t>
      </w:r>
      <w:r w:rsidR="001A0242">
        <w:rPr>
          <w:rFonts w:asciiTheme="minorHAnsi" w:hAnsiTheme="minorHAnsi" w:cstheme="minorHAnsi"/>
        </w:rPr>
        <w:t>ky</w:t>
      </w:r>
      <w:r w:rsidRPr="00C20E11">
        <w:rPr>
          <w:rFonts w:asciiTheme="minorHAnsi" w:hAnsiTheme="minorHAnsi" w:cstheme="minorHAnsi"/>
        </w:rPr>
        <w:t xml:space="preserve"> dle kritérií stanovených zadávací dokumentací byl vybrán dodavatel </w:t>
      </w:r>
      <w:proofErr w:type="spellStart"/>
      <w:r w:rsidR="001A0242" w:rsidRPr="001A0242">
        <w:rPr>
          <w:rFonts w:asciiTheme="minorHAnsi" w:hAnsiTheme="minorHAnsi" w:cstheme="minorHAnsi"/>
        </w:rPr>
        <w:t>Aricoma</w:t>
      </w:r>
      <w:proofErr w:type="spellEnd"/>
      <w:r w:rsidR="001A0242" w:rsidRPr="001A0242">
        <w:rPr>
          <w:rFonts w:asciiTheme="minorHAnsi" w:hAnsiTheme="minorHAnsi" w:cstheme="minorHAnsi"/>
        </w:rPr>
        <w:t xml:space="preserve"> Systems a.s., IČ: 04308697</w:t>
      </w:r>
      <w:r w:rsidR="001A0242">
        <w:rPr>
          <w:rFonts w:asciiTheme="minorHAnsi" w:hAnsiTheme="minorHAnsi" w:cstheme="minorHAnsi"/>
        </w:rPr>
        <w:t>.</w:t>
      </w:r>
    </w:p>
    <w:p w:rsidR="00C20E11" w:rsidRPr="006777D6" w:rsidRDefault="00C20E11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8. Označení poddodavatele/ů </w:t>
      </w:r>
    </w:p>
    <w:p w:rsidR="006777D6" w:rsidRDefault="001A0242" w:rsidP="006777D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Dodavatele nevyužije poddodavatele.</w:t>
      </w:r>
    </w:p>
    <w:p w:rsidR="00C20E11" w:rsidRPr="006777D6" w:rsidRDefault="00C20E11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9. Odůvodnění použití jednacího řízení s uveřejněním nebo řízení se soutěžním dialogem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Nepoužito.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10. Odůvodnění použití jednacího řízení bez uveřejnění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Nepoužito.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11. Odůvodnění použití zjednodušeného režimu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Nepoužito. </w:t>
      </w:r>
    </w:p>
    <w:p w:rsidR="00C20E11" w:rsidRDefault="00C20E11" w:rsidP="006777D6">
      <w:pPr>
        <w:pStyle w:val="Default"/>
        <w:rPr>
          <w:rFonts w:asciiTheme="minorHAnsi" w:hAnsiTheme="minorHAnsi" w:cstheme="minorHAnsi"/>
          <w:b/>
          <w:bCs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12. Odůvodnění zrušení zadávacího řízení nebo nezavedení dynamického nákupního systému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Nezrušeno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13. Odůvodnění použití jiných komunikačních prostředků při podání nabídky namísto elektronických prostředků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V rámci VZ použity pro podání nabídek pouze elektronické prostředky.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14. Osoby, u kterých byl zjištěn střet zájmů spolu s uvedením přijatých opatření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U žádné osoby nebyl zjištěn střet zájmů.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15. Odůvodnění nerozdělení nadlimitní VZ na části </w:t>
      </w:r>
    </w:p>
    <w:p w:rsidR="006777D6" w:rsidRDefault="0015358B" w:rsidP="006777D6">
      <w:pPr>
        <w:pStyle w:val="Default"/>
        <w:rPr>
          <w:rFonts w:asciiTheme="minorHAnsi" w:hAnsiTheme="minorHAnsi" w:cstheme="minorHAnsi"/>
        </w:rPr>
      </w:pPr>
      <w:r w:rsidRPr="0015358B">
        <w:rPr>
          <w:rFonts w:asciiTheme="minorHAnsi" w:hAnsiTheme="minorHAnsi" w:cstheme="minorHAnsi"/>
        </w:rPr>
        <w:t>Předmětem služby je logický a logisticky jednotný celek.</w:t>
      </w:r>
    </w:p>
    <w:p w:rsidR="0015358B" w:rsidRPr="006777D6" w:rsidRDefault="0015358B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16. Odůvodnění stanovení požadavku na prokázání obratu v případě postupu dle § 78 odst. 3 ZZVZ </w:t>
      </w:r>
    </w:p>
    <w:p w:rsidR="00CF48E2" w:rsidRPr="006777D6" w:rsidRDefault="006777D6" w:rsidP="006777D6">
      <w:pPr>
        <w:rPr>
          <w:rFonts w:cstheme="minorHAnsi"/>
          <w:sz w:val="24"/>
          <w:szCs w:val="24"/>
        </w:rPr>
      </w:pPr>
      <w:r w:rsidRPr="006777D6">
        <w:rPr>
          <w:rFonts w:cstheme="minorHAnsi"/>
          <w:sz w:val="24"/>
          <w:szCs w:val="24"/>
        </w:rPr>
        <w:t>Zadavatel nepožadoval prokázání obratu v případě postupu dle § 78 odst. 3 ZZVZ.</w:t>
      </w:r>
    </w:p>
    <w:sectPr w:rsidR="00CF48E2" w:rsidRPr="006777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D7" w:rsidRDefault="00D33CD7" w:rsidP="006777D6">
      <w:pPr>
        <w:spacing w:after="0" w:line="240" w:lineRule="auto"/>
      </w:pPr>
      <w:r>
        <w:separator/>
      </w:r>
    </w:p>
  </w:endnote>
  <w:endnote w:type="continuationSeparator" w:id="0">
    <w:p w:rsidR="00D33CD7" w:rsidRDefault="00D33CD7" w:rsidP="0067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A5" w:rsidRDefault="000C65A5" w:rsidP="000C65A5">
    <w:pPr>
      <w:pStyle w:val="Zhlav"/>
    </w:pPr>
    <w:r w:rsidRPr="004E6D9D">
      <w:rPr>
        <w:noProof/>
        <w:lang w:eastAsia="cs-CZ"/>
      </w:rPr>
      <w:drawing>
        <wp:inline distT="0" distB="0" distL="0" distR="0" wp14:anchorId="0D935FBB" wp14:editId="69CC4ED7">
          <wp:extent cx="1847850" cy="552450"/>
          <wp:effectExtent l="0" t="0" r="0" b="0"/>
          <wp:docPr id="10" name="Obrázek 10" descr="C:\Users\alzbeta.kalalova\AppData\Local\Temp\Temp1_nextgenerationeu-cs.zip\nextgenerationeu_cs\JPEG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alzbeta.kalalova\AppData\Local\Temp\Temp1_nextgenerationeu-cs.zip\nextgenerationeu_cs\JPEG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DF97A00" wp14:editId="46CA416B">
          <wp:simplePos x="0" y="0"/>
          <wp:positionH relativeFrom="column">
            <wp:posOffset>4217670</wp:posOffset>
          </wp:positionH>
          <wp:positionV relativeFrom="paragraph">
            <wp:posOffset>67945</wp:posOffset>
          </wp:positionV>
          <wp:extent cx="1367790" cy="419735"/>
          <wp:effectExtent l="0" t="0" r="3810" b="0"/>
          <wp:wrapNone/>
          <wp:docPr id="12" name="Obrázek 12" descr="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83C8388" wp14:editId="248ED432">
          <wp:simplePos x="0" y="0"/>
          <wp:positionH relativeFrom="column">
            <wp:posOffset>2352040</wp:posOffset>
          </wp:positionH>
          <wp:positionV relativeFrom="paragraph">
            <wp:posOffset>47625</wp:posOffset>
          </wp:positionV>
          <wp:extent cx="1079500" cy="450215"/>
          <wp:effectExtent l="0" t="0" r="635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C65A5" w:rsidRDefault="000C65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D7" w:rsidRDefault="00D33CD7" w:rsidP="006777D6">
      <w:pPr>
        <w:spacing w:after="0" w:line="240" w:lineRule="auto"/>
      </w:pPr>
      <w:r>
        <w:separator/>
      </w:r>
    </w:p>
  </w:footnote>
  <w:footnote w:type="continuationSeparator" w:id="0">
    <w:p w:rsidR="00D33CD7" w:rsidRDefault="00D33CD7" w:rsidP="0067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D6" w:rsidRDefault="006777D6">
    <w:pPr>
      <w:pStyle w:val="Zhlav"/>
    </w:pPr>
    <w:r>
      <w:rPr>
        <w:noProof/>
        <w:lang w:eastAsia="cs-CZ"/>
      </w:rPr>
      <w:drawing>
        <wp:inline distT="0" distB="0" distL="0" distR="0" wp14:anchorId="35403D8F" wp14:editId="7C866758">
          <wp:extent cx="5760720" cy="826770"/>
          <wp:effectExtent l="0" t="0" r="0" b="0"/>
          <wp:docPr id="2" name="Obrázek 2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30DF"/>
    <w:multiLevelType w:val="hybridMultilevel"/>
    <w:tmpl w:val="263C5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214F9"/>
    <w:multiLevelType w:val="multilevel"/>
    <w:tmpl w:val="8CCA8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D6"/>
    <w:rsid w:val="00061066"/>
    <w:rsid w:val="000B6A62"/>
    <w:rsid w:val="000C65A5"/>
    <w:rsid w:val="0015358B"/>
    <w:rsid w:val="001A0242"/>
    <w:rsid w:val="002116BE"/>
    <w:rsid w:val="003C30A4"/>
    <w:rsid w:val="004624FB"/>
    <w:rsid w:val="0054413B"/>
    <w:rsid w:val="00573A93"/>
    <w:rsid w:val="006777D6"/>
    <w:rsid w:val="00C20E11"/>
    <w:rsid w:val="00CF48E2"/>
    <w:rsid w:val="00D3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DFF"/>
  <w15:chartTrackingRefBased/>
  <w15:docId w15:val="{E69AD6B2-3CFF-4E6F-BA75-36818E19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7D6"/>
  </w:style>
  <w:style w:type="paragraph" w:styleId="Nadpis1">
    <w:name w:val="heading 1"/>
    <w:basedOn w:val="Normln"/>
    <w:next w:val="Normln"/>
    <w:link w:val="Nadpis1Char"/>
    <w:uiPriority w:val="9"/>
    <w:qFormat/>
    <w:rsid w:val="004624FB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777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7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7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7D6"/>
  </w:style>
  <w:style w:type="paragraph" w:styleId="Zpat">
    <w:name w:val="footer"/>
    <w:basedOn w:val="Normln"/>
    <w:link w:val="ZpatChar"/>
    <w:uiPriority w:val="99"/>
    <w:unhideWhenUsed/>
    <w:rsid w:val="0067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7D6"/>
  </w:style>
  <w:style w:type="paragraph" w:styleId="Odstavecseseznamem">
    <w:name w:val="List Paragraph"/>
    <w:basedOn w:val="Normln"/>
    <w:uiPriority w:val="34"/>
    <w:qFormat/>
    <w:rsid w:val="00C20E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rsid w:val="00C20E11"/>
    <w:pPr>
      <w:widowControl w:val="0"/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20E11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4624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Opti3070</dc:creator>
  <cp:keywords/>
  <dc:description/>
  <cp:lastModifiedBy>Ivana Valášková</cp:lastModifiedBy>
  <cp:revision>7</cp:revision>
  <dcterms:created xsi:type="dcterms:W3CDTF">2023-06-29T08:02:00Z</dcterms:created>
  <dcterms:modified xsi:type="dcterms:W3CDTF">2025-07-22T13:51:00Z</dcterms:modified>
</cp:coreProperties>
</file>