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2711" w14:textId="77777777" w:rsidR="00E57833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</w:p>
    <w:p w14:paraId="50A99ED9" w14:textId="77777777" w:rsidR="00E57833" w:rsidRDefault="00E57833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CE7B0F4" w14:textId="4CE38D1E" w:rsidR="005F0BF8" w:rsidRPr="00AA1A6B" w:rsidRDefault="00EA7BE1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Krycí list nabídky</w:t>
      </w:r>
    </w:p>
    <w:p w14:paraId="2817D0DE" w14:textId="163FDAB4" w:rsidR="00C66DA3" w:rsidRPr="00AA1A6B" w:rsidRDefault="00C66DA3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5C664D1" w:rsidR="00C5658A" w:rsidRPr="004C4C9B" w:rsidRDefault="004C4C9B" w:rsidP="004C4C9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4C4C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cs-CZ"/>
              </w:rPr>
              <w:t xml:space="preserve">Centrum </w:t>
            </w:r>
            <w:r w:rsidR="00213F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cs-CZ"/>
              </w:rPr>
              <w:t>kreativního</w:t>
            </w:r>
            <w:r w:rsidRPr="004C4C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cs-CZ"/>
              </w:rPr>
              <w:t xml:space="preserve"> muzejnictví (CKM)</w:t>
            </w:r>
            <w:r w:rsidR="003B31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cs-CZ"/>
              </w:rPr>
              <w:t xml:space="preserve"> </w:t>
            </w:r>
            <w:r w:rsidRPr="004C4C9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cs-CZ"/>
              </w:rPr>
              <w:t>v objektu Vrbenského kasáren v HK – dodávka interiérů a vybavení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A48459A" w:rsidR="00846F38" w:rsidRPr="00AA1A6B" w:rsidRDefault="004C4C9B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11 576 500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523296F9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D046B9E" w14:textId="1022EFF1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Kontaktní osoba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 řešení reklamací</w:t>
            </w:r>
          </w:p>
        </w:tc>
        <w:tc>
          <w:tcPr>
            <w:tcW w:w="3829" w:type="pct"/>
          </w:tcPr>
          <w:p w14:paraId="1DA15B27" w14:textId="1F93120F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0A5ECEE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9D6A3F2" w14:textId="6828873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3A5C84C8" w14:textId="75D7300D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152A6ADE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233B952" w14:textId="5B5B46F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597D58" w14:textId="57BEC028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7444A45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4B91680" w:rsidR="008078BB" w:rsidRPr="00AA1A6B" w:rsidRDefault="008078BB" w:rsidP="008078B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92988E" w14:textId="0AC0B65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4C9B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5D77A52C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 w:rsidR="008078BB"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27BB7EB9" w:rsidR="00BD6D50" w:rsidRPr="00AA1A6B" w:rsidRDefault="00E57833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Prohlášení o 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>kvalifikac</w:t>
      </w:r>
      <w:r>
        <w:rPr>
          <w:rFonts w:ascii="Times New Roman" w:hAnsi="Times New Roman" w:cs="Times New Roman"/>
          <w:b/>
          <w:bCs/>
          <w:sz w:val="24"/>
          <w:szCs w:val="32"/>
        </w:rPr>
        <w:t>i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0DB1229C" w14:textId="1B7A0B88" w:rsidR="00741379" w:rsidRPr="008078BB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</w:t>
      </w:r>
      <w:r w:rsidR="004A33BE" w:rsidRPr="008078BB">
        <w:rPr>
          <w:rFonts w:ascii="Times New Roman" w:eastAsia="Arial" w:hAnsi="Times New Roman" w:cs="Times New Roman"/>
          <w:b/>
          <w:bCs/>
        </w:rPr>
        <w:t xml:space="preserve">alespoň </w:t>
      </w:r>
      <w:bookmarkStart w:id="1" w:name="_Hlk110603977"/>
      <w:r w:rsidR="008078BB" w:rsidRPr="008078BB">
        <w:rPr>
          <w:rFonts w:ascii="Times New Roman" w:eastAsia="Arial" w:hAnsi="Times New Roman" w:cs="Times New Roman"/>
          <w:b/>
          <w:bCs/>
        </w:rPr>
        <w:t>dvou (2)</w:t>
      </w:r>
      <w:r w:rsidR="008078BB" w:rsidRPr="008078BB">
        <w:rPr>
          <w:rFonts w:ascii="Times New Roman" w:eastAsia="Arial" w:hAnsi="Times New Roman" w:cs="Times New Roman"/>
        </w:rPr>
        <w:t xml:space="preserve"> významných obdobných zakázek na dodávky, jejichž předmětem byla 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výstavba výstavního </w:t>
      </w:r>
      <w:proofErr w:type="spellStart"/>
      <w:r w:rsidR="008078BB" w:rsidRPr="008078BB">
        <w:rPr>
          <w:rFonts w:ascii="Times New Roman" w:eastAsia="Arial" w:hAnsi="Times New Roman" w:cs="Times New Roman"/>
          <w:b/>
          <w:bCs/>
        </w:rPr>
        <w:t>fundusu</w:t>
      </w:r>
      <w:proofErr w:type="spellEnd"/>
      <w:r w:rsidR="008078BB" w:rsidRPr="008078BB">
        <w:rPr>
          <w:rFonts w:ascii="Times New Roman" w:eastAsia="Arial" w:hAnsi="Times New Roman" w:cs="Times New Roman"/>
        </w:rPr>
        <w:t xml:space="preserve">, přičemž hodnota každé ze zakázek bez daně z přidané hodnoty byla ve finančním objemu minimálně </w:t>
      </w:r>
      <w:r w:rsidR="00213F2F" w:rsidRPr="00213F2F">
        <w:rPr>
          <w:rFonts w:ascii="Times New Roman" w:eastAsia="Arial" w:hAnsi="Times New Roman" w:cs="Times New Roman"/>
          <w:b/>
          <w:bCs/>
        </w:rPr>
        <w:t>4</w:t>
      </w:r>
      <w:r w:rsidR="008078BB" w:rsidRPr="00213F2F">
        <w:rPr>
          <w:rFonts w:ascii="Times New Roman" w:eastAsia="Arial" w:hAnsi="Times New Roman" w:cs="Times New Roman"/>
          <w:b/>
          <w:bCs/>
        </w:rPr>
        <w:t xml:space="preserve"> 000 000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Kč bez DPH</w:t>
      </w:r>
      <w:r w:rsidR="000C5F8D">
        <w:rPr>
          <w:rFonts w:ascii="Times New Roman" w:eastAsia="Arial" w:hAnsi="Times New Roman" w:cs="Times New Roman"/>
          <w:b/>
          <w:bCs/>
        </w:rPr>
        <w:t xml:space="preserve"> za každou z nich</w:t>
      </w:r>
      <w:r w:rsidR="008078BB" w:rsidRPr="008078BB">
        <w:rPr>
          <w:rFonts w:ascii="Times New Roman" w:eastAsia="Arial" w:hAnsi="Times New Roman" w:cs="Times New Roman"/>
          <w:b/>
          <w:bCs/>
        </w:rPr>
        <w:t>.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bookmarkEnd w:id="2"/>
    <w:p w14:paraId="7131FD91" w14:textId="401A8416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lastRenderedPageBreak/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E03199" w:rsidRPr="00E03199" w14:paraId="0B82BD9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3C1873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03199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03199" w:rsidRPr="00E03199" w14:paraId="5FCDA44B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3B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1F54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03199" w:rsidRPr="00E03199" w14:paraId="6A66DB9F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5B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A4C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07043FE7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9142BED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03199" w:rsidRPr="00E03199" w14:paraId="04A683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E606FB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E03199" w:rsidRPr="00E03199" w14:paraId="280D1A16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0C2AA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77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F817D39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E7BA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8AD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4D12AC60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DCE8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3D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1E9D21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6BB21E" w14:textId="77777777" w:rsidR="00E03199" w:rsidRPr="00E03199" w:rsidRDefault="00E0319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E03199" w:rsidRPr="00E03199" w14:paraId="11303D5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C492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CF75AA8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ADB4A2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03199" w:rsidRPr="00E03199" w14:paraId="5DE37330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DB488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  <w:tr w:rsidR="00E03199" w:rsidRPr="00E03199" w14:paraId="5B63E0A1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9C6D19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E03199" w:rsidRPr="00E03199" w14:paraId="122FDD0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D58AE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13F633B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7CEBAC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20E0572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97C84D4" w14:textId="77777777" w:rsidR="00E03199" w:rsidRPr="00E03199" w:rsidRDefault="00E03199" w:rsidP="00E0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199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42A64DEE" w14:textId="77777777" w:rsidR="00F57E00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</w:t>
      </w:r>
      <w:r w:rsidRPr="00AA1A6B">
        <w:rPr>
          <w:rFonts w:ascii="Times New Roman" w:hAnsi="Times New Roman" w:cs="Times New Roman"/>
          <w:sz w:val="20"/>
          <w:szCs w:val="20"/>
        </w:rPr>
        <w:lastRenderedPageBreak/>
        <w:t xml:space="preserve">čele není člen vlády), nebo jím ovládaná osoba vlastní podíl představující alespoň 25 % účasti společníka v obchodní společnosti </w:t>
      </w: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29FDF244" w14:textId="5E3AE70C" w:rsidR="004A33BE" w:rsidRDefault="00605FD6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26B349E6" w14:textId="77777777" w:rsidR="0034178C" w:rsidRPr="00E33DBF" w:rsidRDefault="0034178C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137D7C06" w:rsidR="004A33BE" w:rsidRPr="00D93832" w:rsidRDefault="00E57833" w:rsidP="00E57833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A33BE"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E031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E03199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472" w14:textId="77777777" w:rsidR="001C0194" w:rsidRDefault="001C0194" w:rsidP="002002D1">
      <w:pPr>
        <w:spacing w:after="0" w:line="240" w:lineRule="auto"/>
      </w:pPr>
      <w:r>
        <w:separator/>
      </w:r>
    </w:p>
  </w:endnote>
  <w:endnote w:type="continuationSeparator" w:id="0">
    <w:p w14:paraId="0D67DFC4" w14:textId="77777777" w:rsidR="001C0194" w:rsidRDefault="001C019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6A2" w14:textId="77777777" w:rsidR="001C0194" w:rsidRDefault="001C0194" w:rsidP="002002D1">
      <w:pPr>
        <w:spacing w:after="0" w:line="240" w:lineRule="auto"/>
      </w:pPr>
      <w:r>
        <w:separator/>
      </w:r>
    </w:p>
  </w:footnote>
  <w:footnote w:type="continuationSeparator" w:id="0">
    <w:p w14:paraId="6059869B" w14:textId="77777777" w:rsidR="001C0194" w:rsidRDefault="001C0194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32A7C6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0C5F8D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0194"/>
    <w:rsid w:val="001C572D"/>
    <w:rsid w:val="001C6BE3"/>
    <w:rsid w:val="001D5358"/>
    <w:rsid w:val="001D75A6"/>
    <w:rsid w:val="001D7B39"/>
    <w:rsid w:val="001E554C"/>
    <w:rsid w:val="002002D1"/>
    <w:rsid w:val="00213F2F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78C"/>
    <w:rsid w:val="003418E5"/>
    <w:rsid w:val="00375ED8"/>
    <w:rsid w:val="0038267D"/>
    <w:rsid w:val="003B310A"/>
    <w:rsid w:val="003B6A5F"/>
    <w:rsid w:val="003E24ED"/>
    <w:rsid w:val="003F42D8"/>
    <w:rsid w:val="00405C94"/>
    <w:rsid w:val="00410E77"/>
    <w:rsid w:val="00415D13"/>
    <w:rsid w:val="00420897"/>
    <w:rsid w:val="0042601D"/>
    <w:rsid w:val="00431805"/>
    <w:rsid w:val="00440812"/>
    <w:rsid w:val="004413C3"/>
    <w:rsid w:val="00451721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4C9B"/>
    <w:rsid w:val="004C5B9C"/>
    <w:rsid w:val="004C6884"/>
    <w:rsid w:val="004D7A76"/>
    <w:rsid w:val="00510899"/>
    <w:rsid w:val="00515F00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0742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078BB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32DC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1C3E"/>
    <w:rsid w:val="00DE5DED"/>
    <w:rsid w:val="00DE61A8"/>
    <w:rsid w:val="00DE7497"/>
    <w:rsid w:val="00DF1278"/>
    <w:rsid w:val="00DF7A87"/>
    <w:rsid w:val="00E03199"/>
    <w:rsid w:val="00E1066F"/>
    <w:rsid w:val="00E20650"/>
    <w:rsid w:val="00E33DBF"/>
    <w:rsid w:val="00E53792"/>
    <w:rsid w:val="00E57833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1405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12</cp:revision>
  <cp:lastPrinted>2022-08-31T11:03:00Z</cp:lastPrinted>
  <dcterms:created xsi:type="dcterms:W3CDTF">2025-03-24T12:37:00Z</dcterms:created>
  <dcterms:modified xsi:type="dcterms:W3CDTF">2025-05-14T12:18:00Z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