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9EAE1" w14:textId="6BE1A9F2" w:rsidR="004A0C39" w:rsidRPr="004A0C39" w:rsidRDefault="004A0C39" w:rsidP="004A0C39">
      <w:pPr>
        <w:pStyle w:val="Default"/>
        <w:jc w:val="center"/>
        <w:rPr>
          <w:b/>
          <w:bCs/>
          <w:sz w:val="22"/>
          <w:szCs w:val="22"/>
        </w:rPr>
      </w:pPr>
      <w:r w:rsidRPr="004A0C39">
        <w:rPr>
          <w:b/>
          <w:bCs/>
          <w:sz w:val="22"/>
          <w:szCs w:val="22"/>
        </w:rPr>
        <w:t>POVINNÉ PŘÍLOHY PRO PODÁNÍ ŽÁDOSTI O PODPORU</w:t>
      </w:r>
    </w:p>
    <w:p w14:paraId="289A3CF1" w14:textId="77777777" w:rsidR="004A0C39" w:rsidRDefault="004A0C39" w:rsidP="00C14F48">
      <w:pPr>
        <w:pStyle w:val="Default"/>
        <w:rPr>
          <w:b/>
          <w:bCs/>
          <w:sz w:val="22"/>
          <w:szCs w:val="22"/>
          <w:u w:val="single"/>
        </w:rPr>
      </w:pPr>
    </w:p>
    <w:p w14:paraId="49A81856" w14:textId="5FBAC3E4" w:rsidR="00C14F48" w:rsidRDefault="00C14F48" w:rsidP="00C14F4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P7.</w:t>
      </w:r>
      <w:r>
        <w:rPr>
          <w:sz w:val="22"/>
          <w:szCs w:val="22"/>
        </w:rPr>
        <w:t xml:space="preserve"> Doklad prokazující povolení k realizaci stavebního záměru dle stavebního zákona č. 183/2006 Sb., má-li jej žadatel v době podání žádosti k dispozici a je-li pro projekt relevantní. </w:t>
      </w:r>
    </w:p>
    <w:p w14:paraId="50BA6772" w14:textId="77777777" w:rsidR="00C14F48" w:rsidRDefault="00C14F48" w:rsidP="00C14F48">
      <w:r>
        <w:t xml:space="preserve">Pokud žadatel nemá doklad prokazující povolení k realizaci stavebního záměru v době podání žádosti o podporu k dispozici, pak předkládá </w:t>
      </w:r>
      <w:r>
        <w:rPr>
          <w:b/>
          <w:bCs/>
        </w:rPr>
        <w:t xml:space="preserve">žádost </w:t>
      </w:r>
      <w:r>
        <w:t xml:space="preserve">nebo návrh o některý z povolovacích procesů uvedených ve stavebním zákoně, a to např. žádost o stavební povolení, ohlášení stavebního záměru, návrh veřejnoprávní smlouvy nahrazující stavební povolení nebo oznámení stavebního záměru s certifikátem autorizovaného inspektora </w:t>
      </w:r>
      <w:r>
        <w:rPr>
          <w:b/>
          <w:bCs/>
        </w:rPr>
        <w:t xml:space="preserve">potvrzené stavebním úřadem </w:t>
      </w:r>
      <w:r>
        <w:t>(ve smyslu podacího razítka).</w:t>
      </w:r>
    </w:p>
    <w:p w14:paraId="1A1F4FD7" w14:textId="77777777" w:rsidR="00C14F48" w:rsidRDefault="00C14F48" w:rsidP="00C14F48">
      <w:pPr>
        <w:pStyle w:val="Default"/>
      </w:pPr>
    </w:p>
    <w:p w14:paraId="3E46B343" w14:textId="77777777" w:rsidR="00C14F48" w:rsidRDefault="00C14F48" w:rsidP="00C14F4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P9.</w:t>
      </w:r>
      <w:r>
        <w:rPr>
          <w:sz w:val="22"/>
          <w:szCs w:val="22"/>
        </w:rPr>
        <w:t xml:space="preserve"> Projektovou dokumentaci stavby v podrobnosti pro vydání stavebního povolení, která je součástí žádosti o stavební povolení, nebo je ověřená stavebním úřadem ve stavebním řízení. Jako ověření dostačuje razítko s podpisem a označením stavebního úřadu alespoň na titulní straně projektové dokumentace. Pokud stavba nevyžaduje stavební povolení, dokládá žadatel projektovou dokumentaci v podrobnosti pro ohlášení stavby, která je součástí ohlášení nebo která je stavebním úřadem ověřena při vydání souhlasu s provedením ohlášeného stavebního záměru, vč. kopií dokladové části s vyjádřením dotčených orgánů, propočtu nákladů stavby a položkového rozpočtu. </w:t>
      </w:r>
    </w:p>
    <w:p w14:paraId="3957E81C" w14:textId="77777777" w:rsidR="00C14F48" w:rsidRDefault="00C14F48" w:rsidP="00C14F48">
      <w:pPr>
        <w:rPr>
          <w:b/>
          <w:bCs/>
        </w:rPr>
      </w:pPr>
      <w:r>
        <w:t>Pokud stavba nevyžaduje stavební povolení, dokládá žadatel projektovou dokumentaci v podrobnosti pro ohlášení stavby, která je součástí ohlášení nebo která je stavebním úřadem ověřena při vydání souhlasu s provedením ohlášeného stavebního záměru, vč. kopií dokladové části s vyjádřením dotčených orgánů, propočtu nákladů stavby a položkového rozpočtu.</w:t>
      </w:r>
    </w:p>
    <w:p w14:paraId="7C703AAF" w14:textId="77777777" w:rsidR="00C14F48" w:rsidRDefault="00C14F48" w:rsidP="00C14F48"/>
    <w:p w14:paraId="20B40888" w14:textId="0EB63355" w:rsidR="00C14F48" w:rsidRDefault="00C14F48" w:rsidP="00C14F48">
      <w:pPr>
        <w:pStyle w:val="Default"/>
        <w:rPr>
          <w:sz w:val="14"/>
          <w:szCs w:val="14"/>
        </w:rPr>
      </w:pPr>
      <w:r>
        <w:rPr>
          <w:b/>
          <w:bCs/>
          <w:sz w:val="22"/>
          <w:szCs w:val="22"/>
          <w:u w:val="single"/>
        </w:rPr>
        <w:t>11.</w:t>
      </w:r>
      <w:r>
        <w:rPr>
          <w:sz w:val="22"/>
          <w:szCs w:val="22"/>
        </w:rPr>
        <w:t xml:space="preserve"> </w:t>
      </w:r>
      <w:r w:rsidR="002811B2">
        <w:rPr>
          <w:sz w:val="22"/>
          <w:szCs w:val="22"/>
        </w:rPr>
        <w:t xml:space="preserve">A) </w:t>
      </w:r>
      <w:r>
        <w:rPr>
          <w:sz w:val="22"/>
          <w:szCs w:val="22"/>
        </w:rPr>
        <w:t>Položkový rozpočet stavby vypracovaný na podkladě aktuálního ceníku ÚRS, RTS.</w:t>
      </w:r>
    </w:p>
    <w:p w14:paraId="78883478" w14:textId="003231FB" w:rsidR="00C14F48" w:rsidRDefault="00C14F48" w:rsidP="00C14F48">
      <w:pPr>
        <w:pStyle w:val="Default"/>
        <w:rPr>
          <w:sz w:val="22"/>
          <w:szCs w:val="22"/>
        </w:rPr>
      </w:pPr>
      <w:r>
        <w:rPr>
          <w:sz w:val="14"/>
          <w:szCs w:val="14"/>
        </w:rPr>
        <w:t xml:space="preserve"> </w:t>
      </w:r>
      <w:r>
        <w:rPr>
          <w:rFonts w:ascii="Wingdings" w:hAnsi="Wingdings"/>
          <w:sz w:val="22"/>
          <w:szCs w:val="22"/>
        </w:rPr>
        <w:t xml:space="preserve">➢ </w:t>
      </w:r>
      <w:r>
        <w:rPr>
          <w:sz w:val="22"/>
          <w:szCs w:val="22"/>
        </w:rPr>
        <w:t xml:space="preserve">položkový rozpočet stavby musí být zpracován dle vyhlášky č. 169/2016 Sb., o stanovení rozsahu dokumentace veřejné zakázky na stavební práce a soupisu stavebních prací, dodávek a služeb s výkazem výměr, ve znění pozdějších předpisů; </w:t>
      </w:r>
    </w:p>
    <w:p w14:paraId="1C51EB30" w14:textId="77777777" w:rsidR="00C14F48" w:rsidRDefault="00C14F48" w:rsidP="00C14F48">
      <w:pPr>
        <w:pStyle w:val="Default"/>
        <w:spacing w:after="130"/>
        <w:rPr>
          <w:sz w:val="22"/>
          <w:szCs w:val="22"/>
        </w:rPr>
      </w:pPr>
      <w:r>
        <w:rPr>
          <w:rFonts w:ascii="Wingdings" w:hAnsi="Wingdings"/>
          <w:sz w:val="22"/>
          <w:szCs w:val="22"/>
        </w:rPr>
        <w:t xml:space="preserve">➢ </w:t>
      </w:r>
      <w:r>
        <w:rPr>
          <w:sz w:val="22"/>
          <w:szCs w:val="22"/>
        </w:rPr>
        <w:t xml:space="preserve">položkový rozpočet stavby musí být zpracován pouze v jedné z cenových soustav tak, aby bylo možné posouzení a porovnání jednotlivých koncových položek rozpočtu na základě cenové databáze ÚRS, RTS. Položky rozpočtu musí být pouze ceníkové neagregované. Agregované položky nejsou přípustné ani pro zadávání veřejných zakázek; </w:t>
      </w:r>
    </w:p>
    <w:p w14:paraId="0DB85334" w14:textId="77777777" w:rsidR="00C14F48" w:rsidRDefault="00C14F48" w:rsidP="00C14F48">
      <w:pPr>
        <w:pStyle w:val="Default"/>
        <w:spacing w:after="130"/>
        <w:rPr>
          <w:sz w:val="22"/>
          <w:szCs w:val="22"/>
        </w:rPr>
      </w:pPr>
      <w:r>
        <w:rPr>
          <w:rFonts w:ascii="Wingdings" w:hAnsi="Wingdings"/>
          <w:sz w:val="22"/>
          <w:szCs w:val="22"/>
        </w:rPr>
        <w:t xml:space="preserve">➢ </w:t>
      </w:r>
      <w:r>
        <w:rPr>
          <w:sz w:val="22"/>
          <w:szCs w:val="22"/>
        </w:rPr>
        <w:t xml:space="preserve">výkazy výměr budou zvlášť zpracovány pro jednotlivé stavební objekty a dále členěny dle zvyklostí výše uvedených ceníků, včetně krycích listů rozpočtu a souhrnného listu rozpočtu; </w:t>
      </w:r>
    </w:p>
    <w:p w14:paraId="735C9F4B" w14:textId="77777777" w:rsidR="00C14F48" w:rsidRDefault="00C14F48" w:rsidP="00C14F48">
      <w:pPr>
        <w:pStyle w:val="Default"/>
        <w:spacing w:after="130"/>
        <w:rPr>
          <w:sz w:val="22"/>
          <w:szCs w:val="22"/>
        </w:rPr>
      </w:pPr>
      <w:r>
        <w:rPr>
          <w:rFonts w:ascii="Wingdings" w:hAnsi="Wingdings"/>
          <w:sz w:val="22"/>
          <w:szCs w:val="22"/>
        </w:rPr>
        <w:t xml:space="preserve">➢ </w:t>
      </w:r>
      <w:r>
        <w:rPr>
          <w:sz w:val="22"/>
          <w:szCs w:val="22"/>
        </w:rPr>
        <w:t xml:space="preserve">položkový rozpočet stavby musí být dělen na způsobilou a nezpůsobilou část, tzn. položky rozpočtu, které nejsou způsobilé, musí být v položkovém rozpočtu jednoznačně identifikovány, a také musí být vyznačeno, zda se jedná o výdaj hlavní nebo vedlejší podle členění, které je uvedeno v kapitole č. 4 Specifických pravidel pro žadatele a příjemce; </w:t>
      </w:r>
    </w:p>
    <w:p w14:paraId="4358034C" w14:textId="77777777" w:rsidR="00C14F48" w:rsidRDefault="00C14F48" w:rsidP="00C14F48">
      <w:pPr>
        <w:pStyle w:val="Default"/>
        <w:spacing w:after="130"/>
        <w:rPr>
          <w:sz w:val="22"/>
          <w:szCs w:val="22"/>
        </w:rPr>
      </w:pPr>
      <w:r>
        <w:rPr>
          <w:rFonts w:ascii="Wingdings" w:hAnsi="Wingdings"/>
          <w:sz w:val="22"/>
          <w:szCs w:val="22"/>
        </w:rPr>
        <w:t xml:space="preserve">➢ </w:t>
      </w:r>
      <w:r>
        <w:rPr>
          <w:sz w:val="22"/>
          <w:szCs w:val="22"/>
        </w:rPr>
        <w:t>u podrobných rozpočtů pro jednotlivé položky a podpoložky tak žadatel musí uvést počty jednotek (ks, kg, m, m</w:t>
      </w:r>
      <w:r>
        <w:rPr>
          <w:sz w:val="14"/>
          <w:szCs w:val="14"/>
        </w:rPr>
        <w:t>2</w:t>
      </w:r>
      <w:r>
        <w:rPr>
          <w:sz w:val="22"/>
          <w:szCs w:val="22"/>
        </w:rPr>
        <w:t>, m</w:t>
      </w:r>
      <w:r>
        <w:rPr>
          <w:sz w:val="14"/>
          <w:szCs w:val="14"/>
        </w:rPr>
        <w:t xml:space="preserve">3 </w:t>
      </w:r>
      <w:r>
        <w:rPr>
          <w:sz w:val="22"/>
          <w:szCs w:val="22"/>
        </w:rPr>
        <w:t xml:space="preserve">atd.), cenu za jednotku a náklad celkem (je-li to relevantní); </w:t>
      </w:r>
    </w:p>
    <w:p w14:paraId="2283489D" w14:textId="77777777" w:rsidR="00C14F48" w:rsidRDefault="00C14F48" w:rsidP="00C14F48">
      <w:pPr>
        <w:pStyle w:val="Default"/>
        <w:rPr>
          <w:sz w:val="22"/>
          <w:szCs w:val="22"/>
        </w:rPr>
      </w:pPr>
      <w:r>
        <w:rPr>
          <w:rFonts w:ascii="Wingdings" w:hAnsi="Wingdings"/>
          <w:sz w:val="22"/>
          <w:szCs w:val="22"/>
        </w:rPr>
        <w:t xml:space="preserve">➢ </w:t>
      </w:r>
      <w:r>
        <w:rPr>
          <w:sz w:val="22"/>
          <w:szCs w:val="22"/>
        </w:rPr>
        <w:t xml:space="preserve">způsobilé náklady cen stavebních prací jsou stanoveny maximálně do úrovně hodnoty cen stavebních prací dle katalogu ÚRS, RTS pro dané období, v němž byla žádost projektu podána; </w:t>
      </w:r>
    </w:p>
    <w:p w14:paraId="218565E3" w14:textId="77777777" w:rsidR="00C14F48" w:rsidRDefault="00C14F48" w:rsidP="00C14F48">
      <w:pPr>
        <w:autoSpaceDE w:val="0"/>
        <w:autoSpaceDN w:val="0"/>
        <w:spacing w:after="133"/>
        <w:rPr>
          <w:rFonts w:ascii="Wingdings" w:hAnsi="Wingdings"/>
          <w:color w:val="000000"/>
        </w:rPr>
      </w:pPr>
      <w:r>
        <w:rPr>
          <w:rFonts w:ascii="Wingdings" w:hAnsi="Wingdings"/>
          <w:color w:val="000000"/>
        </w:rPr>
        <w:t xml:space="preserve">➢ </w:t>
      </w:r>
      <w:r>
        <w:rPr>
          <w:color w:val="000000"/>
        </w:rPr>
        <w:t xml:space="preserve">pokud je to možné, je nutné rozpočet dokládat bez souborů, kompletů a R-položek (agregovaných). V případě, že položkový rozpočet bude obsahovat soubory, komplety nebo R-položky, které nelze ocenit na základě cenové databáze ÚRS, RTS, pak je nutné dodat samostatné ocenění položek souborů, kompletů a R-položek (agregované) provedením průzkumu trhu. Žadatel doloží provedení průzkumu trhu oslovením minimálně 3 dodavatelů nebo jiný předloží doklad, kterým doloží ceny obvyklé; </w:t>
      </w:r>
    </w:p>
    <w:p w14:paraId="15A26772" w14:textId="77777777" w:rsidR="00C14F48" w:rsidRDefault="00C14F48" w:rsidP="00C14F48">
      <w:pPr>
        <w:autoSpaceDE w:val="0"/>
        <w:autoSpaceDN w:val="0"/>
        <w:rPr>
          <w:rFonts w:ascii="Wingdings" w:hAnsi="Wingdings"/>
          <w:color w:val="000000"/>
        </w:rPr>
      </w:pPr>
      <w:r>
        <w:rPr>
          <w:rFonts w:ascii="Wingdings" w:hAnsi="Wingdings"/>
          <w:color w:val="000000"/>
        </w:rPr>
        <w:t xml:space="preserve">➢ </w:t>
      </w:r>
      <w:r>
        <w:rPr>
          <w:color w:val="000000"/>
        </w:rPr>
        <w:t>rozpočty budou předávány a zasílány elektronicky ve formátech:.</w:t>
      </w:r>
      <w:proofErr w:type="spellStart"/>
      <w:r>
        <w:rPr>
          <w:color w:val="000000"/>
        </w:rPr>
        <w:t>xls</w:t>
      </w:r>
      <w:proofErr w:type="spellEnd"/>
      <w:r>
        <w:rPr>
          <w:color w:val="000000"/>
        </w:rPr>
        <w:t>., .</w:t>
      </w:r>
      <w:proofErr w:type="spellStart"/>
      <w:r>
        <w:rPr>
          <w:color w:val="000000"/>
        </w:rPr>
        <w:t>xlsx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rts</w:t>
      </w:r>
      <w:proofErr w:type="spellEnd"/>
      <w:r>
        <w:rPr>
          <w:color w:val="000000"/>
        </w:rPr>
        <w:t>, .</w:t>
      </w:r>
      <w:proofErr w:type="spellStart"/>
      <w:r>
        <w:rPr>
          <w:color w:val="000000"/>
        </w:rPr>
        <w:t>xml</w:t>
      </w:r>
      <w:proofErr w:type="spellEnd"/>
      <w:proofErr w:type="gramStart"/>
      <w:r>
        <w:rPr>
          <w:color w:val="000000"/>
        </w:rPr>
        <w:t>, .xc</w:t>
      </w:r>
      <w:proofErr w:type="gramEnd"/>
      <w:r>
        <w:rPr>
          <w:color w:val="000000"/>
        </w:rPr>
        <w:t>4, .</w:t>
      </w:r>
      <w:proofErr w:type="spellStart"/>
      <w:r>
        <w:rPr>
          <w:color w:val="000000"/>
        </w:rPr>
        <w:t>utf</w:t>
      </w:r>
      <w:proofErr w:type="spellEnd"/>
      <w:r>
        <w:rPr>
          <w:color w:val="000000"/>
        </w:rPr>
        <w:t xml:space="preserve"> apod., který je přímým výstupem softwaru pro rozpočtování a současně z důvodu neměnitelnosti a jednoznačnosti předkládaných dat i ve formátu </w:t>
      </w:r>
      <w:proofErr w:type="spellStart"/>
      <w:r>
        <w:rPr>
          <w:color w:val="000000"/>
        </w:rPr>
        <w:t>pdf</w:t>
      </w:r>
      <w:proofErr w:type="spellEnd"/>
      <w:r>
        <w:rPr>
          <w:color w:val="000000"/>
        </w:rPr>
        <w:t xml:space="preserve">. U požadovaných souborů položkových rozpočtů se musí jednat o exportní soubory software pro tvorbu a kalkulaci rozpočtů. </w:t>
      </w:r>
    </w:p>
    <w:p w14:paraId="126739D0" w14:textId="77777777" w:rsidR="00C14F48" w:rsidRDefault="00C14F48" w:rsidP="00C14F48">
      <w:pPr>
        <w:autoSpaceDE w:val="0"/>
        <w:autoSpaceDN w:val="0"/>
        <w:rPr>
          <w:rFonts w:ascii="Wingdings" w:hAnsi="Wingdings"/>
          <w:color w:val="000000"/>
        </w:rPr>
      </w:pPr>
    </w:p>
    <w:p w14:paraId="1D219949" w14:textId="77777777" w:rsidR="00C14F48" w:rsidRDefault="00C14F48" w:rsidP="00C14F48">
      <w:pPr>
        <w:autoSpaceDE w:val="0"/>
        <w:autoSpaceDN w:val="0"/>
        <w:rPr>
          <w:rFonts w:ascii="Wingdings" w:hAnsi="Wingdings"/>
          <w:color w:val="000000"/>
        </w:rPr>
      </w:pPr>
      <w:r>
        <w:rPr>
          <w:color w:val="000000"/>
        </w:rPr>
        <w:t xml:space="preserve">U požadovaných souborů položkových rozpočtů se musí jednat o exportní soubory software pro tvorbu a kalkulaci rozpočtů. </w:t>
      </w:r>
    </w:p>
    <w:p w14:paraId="2D024C41" w14:textId="7EDC04D7" w:rsidR="00C14F48" w:rsidRDefault="00C14F48" w:rsidP="00C14F4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Je nutné, aby přiložené exportní soubory položkových rozpočtů, které jsou přímým výstupem softwaru pro tvorbu a kalkulaci rozpočtů, byly rozpoznatelné v programu, jehož jsou výstupem, např. v programu </w:t>
      </w:r>
      <w:proofErr w:type="spellStart"/>
      <w:r>
        <w:rPr>
          <w:sz w:val="22"/>
          <w:szCs w:val="22"/>
        </w:rPr>
        <w:t>BuildPowerS</w:t>
      </w:r>
      <w:proofErr w:type="spellEnd"/>
      <w:r>
        <w:rPr>
          <w:sz w:val="22"/>
          <w:szCs w:val="22"/>
        </w:rPr>
        <w:t xml:space="preserve"> (cenová databáze RTS), nebo Program KROS 4_Basic (cenová databáze ÚRS) atd.</w:t>
      </w:r>
    </w:p>
    <w:p w14:paraId="59B29873" w14:textId="338F66CB" w:rsidR="002811B2" w:rsidRDefault="002811B2" w:rsidP="00C14F48">
      <w:pPr>
        <w:pStyle w:val="Default"/>
        <w:rPr>
          <w:sz w:val="22"/>
          <w:szCs w:val="22"/>
        </w:rPr>
      </w:pPr>
    </w:p>
    <w:p w14:paraId="1F674C9E" w14:textId="049B1F93" w:rsidR="002811B2" w:rsidRDefault="002811B2" w:rsidP="00C14F4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Položkový rozpočet vybavení </w:t>
      </w:r>
    </w:p>
    <w:p w14:paraId="4C341F12" w14:textId="77777777" w:rsidR="00C14F48" w:rsidRDefault="00C14F48" w:rsidP="00C14F48">
      <w:pPr>
        <w:pStyle w:val="Default"/>
        <w:rPr>
          <w:sz w:val="22"/>
          <w:szCs w:val="22"/>
        </w:rPr>
      </w:pPr>
    </w:p>
    <w:p w14:paraId="0698DDFE" w14:textId="77777777" w:rsidR="00C14F48" w:rsidRDefault="00C14F48" w:rsidP="00C14F48">
      <w:pPr>
        <w:pStyle w:val="Default"/>
        <w:spacing w:after="137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14.</w:t>
      </w:r>
      <w:r>
        <w:rPr>
          <w:sz w:val="22"/>
          <w:szCs w:val="22"/>
        </w:rPr>
        <w:t xml:space="preserve"> Závazné stanovisko orgánu památkové péče, pokud je pro daný projekt relevantní. </w:t>
      </w:r>
    </w:p>
    <w:p w14:paraId="318914B1" w14:textId="77777777" w:rsidR="00C14F48" w:rsidRDefault="00C14F48" w:rsidP="00C14F48">
      <w:pPr>
        <w:pStyle w:val="Default"/>
        <w:spacing w:after="137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15.</w:t>
      </w:r>
      <w:r>
        <w:rPr>
          <w:sz w:val="22"/>
          <w:szCs w:val="22"/>
        </w:rPr>
        <w:t xml:space="preserve"> Potvrzení energetického specialisty o splnění specifických kritérií přijatelnosti v oblasti energetické náročnosti budovy a indikátorů, zpracovaným dle závazného vzoru „Tabulky specifických kritérií a indikátorů“, jež je přílohou č. 1 této Metodické pomůcky pro způsob doložení specifických kritérií přijatelnosti v oblasti energetické náročnosti budovy. Potvrzení bude podepsáno energetickým specialistou. </w:t>
      </w:r>
    </w:p>
    <w:p w14:paraId="72EBA5B6" w14:textId="77777777" w:rsidR="00C14F48" w:rsidRDefault="00C14F48" w:rsidP="00C14F48">
      <w:pPr>
        <w:pStyle w:val="Default"/>
        <w:spacing w:after="137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17.</w:t>
      </w:r>
      <w:r>
        <w:rPr>
          <w:sz w:val="22"/>
          <w:szCs w:val="22"/>
        </w:rPr>
        <w:t xml:space="preserve"> Kontrolní protokol dle Technických pokynů k uplatňování zásady „významně nepoškozovat“ podle nařízení o Nástroji pro oživení a odolnost (Oznámení Komise 2021/C 58/01). </w:t>
      </w:r>
    </w:p>
    <w:p w14:paraId="55412808" w14:textId="77777777" w:rsidR="00C14F48" w:rsidRDefault="00C14F48" w:rsidP="00C14F48">
      <w:pPr>
        <w:pStyle w:val="Default"/>
        <w:spacing w:after="137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18.</w:t>
      </w:r>
      <w:r>
        <w:rPr>
          <w:sz w:val="22"/>
          <w:szCs w:val="22"/>
        </w:rPr>
        <w:t xml:space="preserve"> Energetický posudek zpracovaný podle zákona č. 406/2000 Sb., o hospodaření energií, ve znění pozdějších předpisů a podle vyhlášky č. 141/2021 Sb., o energetickém posudku a údajích vedených v Systému monitoringu spotřeby energie, ve znění pozdějších předpisů. </w:t>
      </w:r>
    </w:p>
    <w:p w14:paraId="3FA9B0EB" w14:textId="77777777" w:rsidR="00C14F48" w:rsidRDefault="00C14F48" w:rsidP="00C14F48">
      <w:pPr>
        <w:pStyle w:val="Default"/>
        <w:spacing w:after="137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19.</w:t>
      </w:r>
      <w:r>
        <w:rPr>
          <w:sz w:val="22"/>
          <w:szCs w:val="22"/>
        </w:rPr>
        <w:t xml:space="preserve"> Průkaz energetické náročnosti budovy dle vyhlášky 264/2020 Sb., o energetické náročnosti budov, v platném znění, pro stav před realizací projektu (v případě rekonstrukcí) a pro stav po realizaci projektu s tím, že musí být zřejmé, které energetické zdroje a stavební konstrukce budou projektem řešeny, viz Příloha č. 4 Specifických pravidel pro žadatele a příjemce. </w:t>
      </w:r>
    </w:p>
    <w:p w14:paraId="6BF5046E" w14:textId="77777777" w:rsidR="00C14F48" w:rsidRDefault="00C14F48" w:rsidP="00C14F48">
      <w:pPr>
        <w:pStyle w:val="Default"/>
        <w:spacing w:after="137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20.</w:t>
      </w:r>
      <w:r>
        <w:rPr>
          <w:sz w:val="22"/>
          <w:szCs w:val="22"/>
        </w:rPr>
        <w:t xml:space="preserve"> Odborný posudek, zpracovaný odborně způsobilou osobou v souladu s Metodikou posuzování staveb z hlediska výskytu </w:t>
      </w:r>
      <w:proofErr w:type="gramStart"/>
      <w:r>
        <w:rPr>
          <w:sz w:val="22"/>
          <w:szCs w:val="22"/>
        </w:rPr>
        <w:t>obecně</w:t>
      </w:r>
      <w:proofErr w:type="gramEnd"/>
      <w:r>
        <w:rPr>
          <w:sz w:val="22"/>
          <w:szCs w:val="22"/>
        </w:rPr>
        <w:t xml:space="preserve"> a zvláště chráněných synantropních druhů živočichů, posuzující výskyt živočichů na zateplovaném (rekonstruovaném) objektu, příp. na objektu určeném k demolici, pokud je pro daný projekt relevantní. V případě, že není vhodná doba průzkum provést, stačí toto doložit stanoviskem odborně způsobilé osoby a předložení odborného posudku bude podmínkou pro vydání právního aktu. </w:t>
      </w:r>
    </w:p>
    <w:p w14:paraId="31B7E0BB" w14:textId="603BF73C" w:rsidR="00C14F48" w:rsidRDefault="004A0C39" w:rsidP="00C14F48">
      <w:r>
        <w:t>__________________________________________________________________________________</w:t>
      </w:r>
    </w:p>
    <w:p w14:paraId="763527A5" w14:textId="77777777" w:rsidR="00C14F48" w:rsidRDefault="00C14F48" w:rsidP="00C14F48"/>
    <w:p w14:paraId="703ECA3E" w14:textId="77777777" w:rsidR="00C14F48" w:rsidRDefault="00C14F48" w:rsidP="00C14F48">
      <w:r>
        <w:rPr>
          <w:u w:val="single"/>
        </w:rPr>
        <w:t>Výdaje ve stavebním rozpočtu je potřeba v rámci rekapitulace rozdělit na Hlavní a Vedlejší výdaje</w:t>
      </w:r>
      <w:r>
        <w:t>, přičemž v rámci vedlejších výdajů budou výdaje spojené s:</w:t>
      </w:r>
    </w:p>
    <w:p w14:paraId="33E19C8B" w14:textId="77777777" w:rsidR="00C14F48" w:rsidRDefault="00C14F48" w:rsidP="00C14F4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Povinnou publicitou</w:t>
      </w:r>
    </w:p>
    <w:p w14:paraId="713F4940" w14:textId="6F4065E3" w:rsidR="00C14F48" w:rsidRDefault="00C14F48" w:rsidP="00C14F48">
      <w:pPr>
        <w:pStyle w:val="Default"/>
        <w:rPr>
          <w:sz w:val="22"/>
          <w:szCs w:val="22"/>
        </w:rPr>
      </w:pPr>
      <w:r>
        <w:rPr>
          <w:sz w:val="23"/>
          <w:szCs w:val="23"/>
        </w:rPr>
        <w:t xml:space="preserve">• </w:t>
      </w:r>
      <w:r>
        <w:rPr>
          <w:sz w:val="22"/>
          <w:szCs w:val="22"/>
        </w:rPr>
        <w:t xml:space="preserve">Výdaje na povinné informační a propagační nástroje podle kap. 10 Obecných pravidel. </w:t>
      </w:r>
    </w:p>
    <w:p w14:paraId="1491B1C6" w14:textId="345DB998" w:rsidR="00C14F48" w:rsidRDefault="00C14F48" w:rsidP="00C14F48">
      <w:pPr>
        <w:pStyle w:val="Default"/>
        <w:rPr>
          <w:sz w:val="22"/>
          <w:szCs w:val="22"/>
        </w:rPr>
      </w:pPr>
    </w:p>
    <w:p w14:paraId="0AA5CCB2" w14:textId="7589A391" w:rsidR="00C14F48" w:rsidRPr="00C14F48" w:rsidRDefault="00C14F48" w:rsidP="00C14F48">
      <w:pPr>
        <w:pStyle w:val="Default"/>
        <w:rPr>
          <w:b/>
          <w:bCs/>
          <w:sz w:val="22"/>
          <w:szCs w:val="22"/>
        </w:rPr>
      </w:pPr>
      <w:r w:rsidRPr="00C14F48">
        <w:rPr>
          <w:b/>
          <w:bCs/>
          <w:sz w:val="22"/>
          <w:szCs w:val="22"/>
        </w:rPr>
        <w:t>Kontrolní protokol DNSH</w:t>
      </w:r>
    </w:p>
    <w:p w14:paraId="23EA0467" w14:textId="77777777" w:rsidR="00C14F48" w:rsidRDefault="00C14F48" w:rsidP="00C14F48">
      <w:pPr>
        <w:pStyle w:val="Default"/>
        <w:rPr>
          <w:sz w:val="22"/>
          <w:szCs w:val="22"/>
        </w:rPr>
      </w:pPr>
    </w:p>
    <w:p w14:paraId="63B7A979" w14:textId="77777777" w:rsidR="00C14F48" w:rsidRDefault="00C14F48" w:rsidP="00C14F4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Související výdaje </w:t>
      </w:r>
    </w:p>
    <w:p w14:paraId="17ED80CB" w14:textId="77777777" w:rsidR="00C14F48" w:rsidRDefault="00C14F48" w:rsidP="00C14F48">
      <w:pPr>
        <w:pStyle w:val="Default"/>
        <w:spacing w:after="50"/>
        <w:rPr>
          <w:sz w:val="22"/>
          <w:szCs w:val="22"/>
        </w:rPr>
      </w:pPr>
      <w:r>
        <w:rPr>
          <w:sz w:val="23"/>
          <w:szCs w:val="23"/>
        </w:rPr>
        <w:t xml:space="preserve">• </w:t>
      </w:r>
      <w:r>
        <w:rPr>
          <w:sz w:val="22"/>
          <w:szCs w:val="22"/>
        </w:rPr>
        <w:t xml:space="preserve">úpravy venkovního prostranství v areálu poskytovatele sociálních služeb (např. oplocení, chodníky, bezbariérový vstup do objektu) související s realizací projektu; </w:t>
      </w:r>
    </w:p>
    <w:p w14:paraId="0D72AC90" w14:textId="77777777" w:rsidR="00C14F48" w:rsidRDefault="00C14F48" w:rsidP="00C14F48">
      <w:pPr>
        <w:pStyle w:val="Default"/>
        <w:spacing w:after="50"/>
        <w:rPr>
          <w:sz w:val="22"/>
          <w:szCs w:val="22"/>
        </w:rPr>
      </w:pPr>
      <w:r>
        <w:rPr>
          <w:sz w:val="23"/>
          <w:szCs w:val="23"/>
        </w:rPr>
        <w:t xml:space="preserve">• </w:t>
      </w:r>
      <w:r>
        <w:rPr>
          <w:sz w:val="22"/>
          <w:szCs w:val="22"/>
        </w:rPr>
        <w:t xml:space="preserve">zeleň v okolí budov (aleje, hřiště, sportovní hřiště a parky); </w:t>
      </w:r>
    </w:p>
    <w:p w14:paraId="0352C85D" w14:textId="77777777" w:rsidR="00C14F48" w:rsidRDefault="00C14F48" w:rsidP="00C14F48">
      <w:pPr>
        <w:pStyle w:val="Default"/>
        <w:spacing w:after="50"/>
        <w:rPr>
          <w:sz w:val="22"/>
          <w:szCs w:val="22"/>
        </w:rPr>
      </w:pPr>
      <w:r>
        <w:rPr>
          <w:sz w:val="23"/>
          <w:szCs w:val="23"/>
        </w:rPr>
        <w:t xml:space="preserve">• </w:t>
      </w:r>
      <w:r>
        <w:rPr>
          <w:sz w:val="22"/>
          <w:szCs w:val="22"/>
        </w:rPr>
        <w:t xml:space="preserve">parkovací stání v rámci areálu nezbytné pro provoz zařízení, včetně příjezdových komunikací v rámci areálu a nezbytného doprovodného vybavení; </w:t>
      </w:r>
    </w:p>
    <w:p w14:paraId="19DD462B" w14:textId="77777777" w:rsidR="00C14F48" w:rsidRDefault="00C14F48" w:rsidP="00C14F48">
      <w:pPr>
        <w:pStyle w:val="Default"/>
        <w:spacing w:after="50"/>
        <w:rPr>
          <w:sz w:val="22"/>
          <w:szCs w:val="22"/>
        </w:rPr>
      </w:pPr>
      <w:r>
        <w:rPr>
          <w:sz w:val="23"/>
          <w:szCs w:val="23"/>
        </w:rPr>
        <w:t xml:space="preserve">• </w:t>
      </w:r>
      <w:r>
        <w:rPr>
          <w:sz w:val="22"/>
          <w:szCs w:val="22"/>
        </w:rPr>
        <w:t xml:space="preserve">výdaje na stavbou vyvolané úpravy a přeložky stávajících inženýrských sítí; </w:t>
      </w:r>
    </w:p>
    <w:p w14:paraId="58D9A3CF" w14:textId="77777777" w:rsidR="00C14F48" w:rsidRDefault="00C14F48" w:rsidP="00C14F48">
      <w:pPr>
        <w:pStyle w:val="Default"/>
        <w:rPr>
          <w:sz w:val="22"/>
          <w:szCs w:val="22"/>
        </w:rPr>
      </w:pPr>
      <w:r>
        <w:rPr>
          <w:sz w:val="23"/>
          <w:szCs w:val="23"/>
        </w:rPr>
        <w:t xml:space="preserve">• </w:t>
      </w:r>
      <w:r>
        <w:rPr>
          <w:sz w:val="22"/>
          <w:szCs w:val="22"/>
        </w:rPr>
        <w:t xml:space="preserve">výdaje na geodetické zaměření pozemku a vyhotovení geometrického plánu; </w:t>
      </w:r>
    </w:p>
    <w:p w14:paraId="306E11EB" w14:textId="2508DAB3" w:rsidR="00C14F48" w:rsidRDefault="004A0C39" w:rsidP="00C14F48">
      <w:r>
        <w:t>__________________________________________________________________________________</w:t>
      </w:r>
    </w:p>
    <w:p w14:paraId="09B2366C" w14:textId="77777777" w:rsidR="00C14F48" w:rsidRDefault="00C14F48" w:rsidP="00C14F48"/>
    <w:p w14:paraId="14DE7CBE" w14:textId="28AFB1B2" w:rsidR="00C14F48" w:rsidRDefault="002811B2" w:rsidP="00C14F48">
      <w:r>
        <w:rPr>
          <w:u w:val="single"/>
        </w:rPr>
        <w:t>V</w:t>
      </w:r>
      <w:r w:rsidR="00C14F48">
        <w:rPr>
          <w:u w:val="single"/>
        </w:rPr>
        <w:t>yčíslení nákladů na zvýšení energetické účinnosti budov</w:t>
      </w:r>
      <w:r w:rsidR="00C14F48">
        <w:t xml:space="preserve">, které zahrnují </w:t>
      </w:r>
    </w:p>
    <w:p w14:paraId="36643EA5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zateplení obvodových konstrukcí (stěn a střešních plášťů) a výdaje přímo související se zateplením obvodových konstrukcí (náklady na lešení a stavební výtahy, náklady na vyrovnání a očištění podkladové plochy pod zateplovacím systémem, klempířské prvky a mřížky ventilačních otvorů, staveništní i mimostaveništní přesun hmot); </w:t>
      </w:r>
    </w:p>
    <w:p w14:paraId="3EC40D91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výměna otvorových výplní a výdaje přímo související s touto výměnou (náklady na parapety, vybourání původních výplní otvorů, změna velikosti otvorů, zednické zapravení oken a dveří); </w:t>
      </w:r>
    </w:p>
    <w:p w14:paraId="0249546A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výměna střešní krytiny; </w:t>
      </w:r>
    </w:p>
    <w:p w14:paraId="523806BA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instalace prvků stínění; </w:t>
      </w:r>
    </w:p>
    <w:p w14:paraId="4A66EB75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renovace lodžií, výměna a renovace balkonů, demontáž a zpětná montáž zavěšených balkonů; </w:t>
      </w:r>
    </w:p>
    <w:p w14:paraId="6963C8D5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sanace statických poruch; </w:t>
      </w:r>
    </w:p>
    <w:p w14:paraId="341C91B6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sanace zdiva; </w:t>
      </w:r>
    </w:p>
    <w:p w14:paraId="470EB009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sanace hydroizolace; </w:t>
      </w:r>
    </w:p>
    <w:p w14:paraId="19841699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zemní práce související se zateplením obvodových konstrukcí; </w:t>
      </w:r>
    </w:p>
    <w:p w14:paraId="7B63B070" w14:textId="77777777" w:rsidR="00C14F48" w:rsidRDefault="00C14F48" w:rsidP="00C14F48">
      <w:pPr>
        <w:pStyle w:val="Default"/>
        <w:numPr>
          <w:ilvl w:val="0"/>
          <w:numId w:val="1"/>
        </w:numPr>
        <w:spacing w:after="48"/>
        <w:rPr>
          <w:sz w:val="22"/>
          <w:szCs w:val="22"/>
        </w:rPr>
      </w:pPr>
      <w:r>
        <w:rPr>
          <w:sz w:val="22"/>
          <w:szCs w:val="22"/>
        </w:rPr>
        <w:t xml:space="preserve">přesuny sutě a vybouraných hmot; </w:t>
      </w:r>
    </w:p>
    <w:p w14:paraId="3A74B61E" w14:textId="77777777" w:rsidR="00C14F48" w:rsidRDefault="00C14F48" w:rsidP="00C14F4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odstranění nevyhovující tepelné izolace (v případech, kdy je nahrazována novou tepelnou izolací s lepšími tepelně-technickými vlastnostmi); </w:t>
      </w:r>
    </w:p>
    <w:p w14:paraId="2A7B7970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</w:rPr>
      </w:pPr>
      <w:r>
        <w:rPr>
          <w:color w:val="000000"/>
        </w:rPr>
        <w:t xml:space="preserve">opatření na sanaci azbestových konstrukcí; </w:t>
      </w:r>
    </w:p>
    <w:p w14:paraId="5DEE7DAD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</w:rPr>
      </w:pPr>
      <w:r>
        <w:rPr>
          <w:color w:val="000000"/>
        </w:rPr>
        <w:t xml:space="preserve">instalace systému nuceného větrání se zpětným získáváním tepla; </w:t>
      </w:r>
    </w:p>
    <w:p w14:paraId="21583456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</w:rPr>
      </w:pPr>
      <w:r>
        <w:rPr>
          <w:color w:val="000000"/>
        </w:rPr>
        <w:t xml:space="preserve">výměna stávajícího hlavního zdroje tepla za plynový kondenzační kotel, kotel na biomasu, tepelné čerpadlo nebo jednotku pro kombinovanou výrobu elektřiny a tepla využívající obnovitelné zdroje energie nebo zemní plyn; </w:t>
      </w:r>
    </w:p>
    <w:p w14:paraId="4FDC7C97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</w:rPr>
      </w:pPr>
      <w:r>
        <w:rPr>
          <w:color w:val="000000"/>
        </w:rPr>
        <w:t xml:space="preserve">instalace nového hlavního zdroje tepla (plynový kondenzační kotel, kotel na biomasu nebo tepelné čerpadlo, jednotka pro kombinovanou výrobu elektřiny a tepla); </w:t>
      </w:r>
    </w:p>
    <w:p w14:paraId="58A49348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</w:rPr>
      </w:pPr>
      <w:r>
        <w:rPr>
          <w:color w:val="000000"/>
        </w:rPr>
        <w:t xml:space="preserve">instalace solárních termických kolektorů; </w:t>
      </w:r>
    </w:p>
    <w:p w14:paraId="3CB3169C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</w:rPr>
      </w:pPr>
      <w:r>
        <w:rPr>
          <w:color w:val="000000"/>
        </w:rPr>
        <w:t xml:space="preserve">instalace fotovoltaických soustav a bateriových uložišť elektřiny, které budou využity pro dané zařízení; </w:t>
      </w:r>
    </w:p>
    <w:p w14:paraId="3D773643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</w:rPr>
      </w:pPr>
      <w:r>
        <w:rPr>
          <w:color w:val="000000"/>
        </w:rPr>
        <w:t xml:space="preserve">instalace akumulační nádrže; </w:t>
      </w:r>
    </w:p>
    <w:p w14:paraId="21698F25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výdaje spojené s realizací opatření na ochranu hnízdišť rorýse a úkrytů netopýrů; </w:t>
      </w:r>
    </w:p>
    <w:p w14:paraId="69A53A02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spacing w:after="48"/>
        <w:rPr>
          <w:color w:val="000000"/>
        </w:rPr>
      </w:pPr>
      <w:r>
        <w:rPr>
          <w:color w:val="000000"/>
        </w:rPr>
        <w:t xml:space="preserve">pořízení a instalace světelných zdrojů energetické třídy A+ a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++ do společných prostor a čidla pohybu; </w:t>
      </w:r>
    </w:p>
    <w:p w14:paraId="02AF4814" w14:textId="77777777" w:rsidR="00C14F48" w:rsidRDefault="00C14F48" w:rsidP="00C14F48">
      <w:pPr>
        <w:numPr>
          <w:ilvl w:val="0"/>
          <w:numId w:val="2"/>
        </w:numPr>
        <w:autoSpaceDE w:val="0"/>
        <w:autoSpaceDN w:val="0"/>
        <w:rPr>
          <w:color w:val="000000"/>
        </w:rPr>
      </w:pPr>
      <w:r>
        <w:rPr>
          <w:color w:val="000000"/>
        </w:rPr>
        <w:t xml:space="preserve">pořízení nebo výměna předávací stanice a náklady spojené s připojením k soustavě zásobování tepelnou energií. </w:t>
      </w:r>
    </w:p>
    <w:p w14:paraId="1122CFE3" w14:textId="24DC88AC" w:rsidR="00A94143" w:rsidRDefault="00A94143"/>
    <w:p w14:paraId="3B73E5C8" w14:textId="68430571" w:rsidR="004A0C39" w:rsidRDefault="004A0C39"/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8"/>
        <w:gridCol w:w="5834"/>
      </w:tblGrid>
      <w:tr w:rsidR="004A0C39" w14:paraId="38D7CC3A" w14:textId="77777777" w:rsidTr="004A0C39">
        <w:trPr>
          <w:trHeight w:val="601"/>
        </w:trPr>
        <w:tc>
          <w:tcPr>
            <w:tcW w:w="12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38D7E" w14:textId="77777777" w:rsidR="004A0C39" w:rsidRDefault="004A0C39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Opatření zaměřená na energetickou účinnost</w:t>
            </w:r>
          </w:p>
        </w:tc>
      </w:tr>
      <w:tr w:rsidR="004A0C39" w14:paraId="4ADD9213" w14:textId="77777777" w:rsidTr="004A0C39">
        <w:trPr>
          <w:trHeight w:val="601"/>
        </w:trPr>
        <w:tc>
          <w:tcPr>
            <w:tcW w:w="12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2A26A" w14:textId="77777777" w:rsidR="004A0C39" w:rsidRDefault="004A0C39">
            <w:r>
              <w:rPr>
                <w:b/>
                <w:bCs/>
                <w:color w:val="000000"/>
              </w:rPr>
              <w:t>Novostavby</w:t>
            </w:r>
            <w:r>
              <w:rPr>
                <w:color w:val="000000"/>
              </w:rPr>
              <w:t xml:space="preserve">: Opatření na dosažení potřeby primární energie alespoň o 20 % nižší, než je požadavek na budovy s téměř nulovou spotřebou energie (je-li </w:t>
            </w:r>
            <w:proofErr w:type="gramStart"/>
            <w:r>
              <w:rPr>
                <w:color w:val="000000"/>
              </w:rPr>
              <w:t>relevantní)</w:t>
            </w:r>
            <w:r>
              <w:rPr>
                <w:rStyle w:val="FootnoteReference"/>
                <w:color w:val="000000"/>
              </w:rPr>
              <w:footnoteReference w:customMarkFollows="1" w:id="1"/>
              <w:t>[</w:t>
            </w:r>
            <w:proofErr w:type="gramEnd"/>
            <w:r>
              <w:rPr>
                <w:rStyle w:val="FootnoteReference"/>
                <w:color w:val="000000"/>
              </w:rPr>
              <w:t>1]</w:t>
            </w:r>
          </w:p>
        </w:tc>
      </w:tr>
      <w:tr w:rsidR="004A0C39" w14:paraId="4553D7C8" w14:textId="77777777" w:rsidTr="004A0C39">
        <w:trPr>
          <w:trHeight w:val="601"/>
        </w:trPr>
        <w:tc>
          <w:tcPr>
            <w:tcW w:w="3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9CD60" w14:textId="77777777" w:rsidR="004A0C39" w:rsidRDefault="004A0C39">
            <w:r>
              <w:rPr>
                <w:color w:val="000000"/>
              </w:rPr>
              <w:t>Popis a vyhodnocení vybraných opatření</w:t>
            </w:r>
          </w:p>
        </w:tc>
        <w:tc>
          <w:tcPr>
            <w:tcW w:w="9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8B9FD" w14:textId="77777777" w:rsidR="004A0C39" w:rsidRDefault="004A0C39"/>
        </w:tc>
      </w:tr>
      <w:tr w:rsidR="004A0C39" w14:paraId="263D3E23" w14:textId="77777777" w:rsidTr="004A0C39">
        <w:trPr>
          <w:trHeight w:val="601"/>
        </w:trPr>
        <w:tc>
          <w:tcPr>
            <w:tcW w:w="3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9E853" w14:textId="77777777" w:rsidR="004A0C39" w:rsidRDefault="004A0C39">
            <w:r>
              <w:rPr>
                <w:color w:val="000000"/>
              </w:rPr>
              <w:t>Vyčíslení nákladů na realizaci těchto opatření</w:t>
            </w:r>
          </w:p>
        </w:tc>
        <w:tc>
          <w:tcPr>
            <w:tcW w:w="9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29BBC" w14:textId="77777777" w:rsidR="004A0C39" w:rsidRDefault="004A0C39"/>
        </w:tc>
      </w:tr>
    </w:tbl>
    <w:p w14:paraId="6E34AD72" w14:textId="77777777" w:rsidR="004A0C39" w:rsidRDefault="004A0C39"/>
    <w:sectPr w:rsidR="004A0C39" w:rsidSect="004A0C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C991D" w14:textId="77777777" w:rsidR="00E440CE" w:rsidRDefault="00E440CE" w:rsidP="004A0C39">
      <w:r>
        <w:separator/>
      </w:r>
    </w:p>
  </w:endnote>
  <w:endnote w:type="continuationSeparator" w:id="0">
    <w:p w14:paraId="00B62DA6" w14:textId="77777777" w:rsidR="00E440CE" w:rsidRDefault="00E440CE" w:rsidP="004A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64657" w14:textId="77777777" w:rsidR="00E440CE" w:rsidRDefault="00E440CE" w:rsidP="004A0C39">
      <w:r>
        <w:separator/>
      </w:r>
    </w:p>
  </w:footnote>
  <w:footnote w:type="continuationSeparator" w:id="0">
    <w:p w14:paraId="302B7014" w14:textId="77777777" w:rsidR="00E440CE" w:rsidRDefault="00E440CE" w:rsidP="004A0C39">
      <w:r>
        <w:continuationSeparator/>
      </w:r>
    </w:p>
  </w:footnote>
  <w:footnote w:id="1">
    <w:p w14:paraId="16857918" w14:textId="6BC75F12" w:rsidR="004A0C39" w:rsidRPr="004A0C39" w:rsidRDefault="004A0C39" w:rsidP="004A0C39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5C6C8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6ACB37C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 w16cid:durableId="110796622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5773350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48"/>
    <w:rsid w:val="002811B2"/>
    <w:rsid w:val="004A0C39"/>
    <w:rsid w:val="00744944"/>
    <w:rsid w:val="00A94143"/>
    <w:rsid w:val="00C14F48"/>
    <w:rsid w:val="00E4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E5E7"/>
  <w15:chartTrackingRefBased/>
  <w15:docId w15:val="{C668035A-9589-439C-A336-A46F0382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4F48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basedOn w:val="Normln"/>
    <w:rsid w:val="00C14F48"/>
    <w:pPr>
      <w:autoSpaceDE w:val="0"/>
      <w:autoSpaceDN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FootnoteText"/>
    <w:uiPriority w:val="99"/>
    <w:locked/>
    <w:rsid w:val="004A0C39"/>
  </w:style>
  <w:style w:type="paragraph" w:customStyle="1" w:styleId="FootnoteText">
    <w:name w:val="Footnote Text"/>
    <w:aliases w:val="Schriftart: 9 pt,Schriftart: 10 pt,Schriftart: 8 pt,pozn. pod čarou,Text poznámky pod čiarou 007,Fußnotentextf,Geneva 9,Font: Geneva 9,Boston 10,f"/>
    <w:basedOn w:val="Normln"/>
    <w:link w:val="FootnoteTextChar"/>
    <w:uiPriority w:val="99"/>
    <w:rsid w:val="004A0C39"/>
    <w:rPr>
      <w:rFonts w:asciiTheme="minorHAnsi" w:hAnsiTheme="minorHAnsi" w:cstheme="minorBidi"/>
    </w:rPr>
  </w:style>
  <w:style w:type="character" w:customStyle="1" w:styleId="FootnoteReference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rsid w:val="004A0C3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0C3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0C39"/>
    <w:rPr>
      <w:rFonts w:ascii="Calibri" w:hAnsi="Calibri" w:cs="Calibri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A0C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0C39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4A0C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0C3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1400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 Petr</dc:creator>
  <cp:keywords/>
  <dc:description/>
  <cp:lastModifiedBy>Chmel Petr</cp:lastModifiedBy>
  <cp:revision>1</cp:revision>
  <cp:lastPrinted>2023-08-17T05:19:00Z</cp:lastPrinted>
  <dcterms:created xsi:type="dcterms:W3CDTF">2023-08-17T04:54:00Z</dcterms:created>
  <dcterms:modified xsi:type="dcterms:W3CDTF">2023-08-17T06:51:00Z</dcterms:modified>
</cp:coreProperties>
</file>