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b/>
          <w:bCs/>
        </w:rPr>
        <w:t xml:space="preserve">TABULKA DVEŘÍ_VNITŘNÍ_SOUPIS 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 xml:space="preserve">Veškeré rozměry nutno ověřit na místě. 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Dílenská výrobní dokumentace není součástí tohoto projektu, bude zpracována dodavatelem a předložena architektovi ke schválení. Materiály, povrchové úpravy, barevnost, kování, budou odsouhlaseny na základě předložených vzorků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Součástí kompletní dodávky jsou spojovací a kotevní prvky.</w:t>
      </w:r>
    </w:p>
    <w:p>
      <w:pPr>
        <w:pStyle w:val="Normal"/>
        <w:spacing w:lineRule="auto" w:line="240" w:before="0" w:after="29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Provedení detailu osazení bude upřesněno po vybourání stávajících konstrukcí a provedení ostění.</w:t>
      </w:r>
    </w:p>
    <w:p>
      <w:pPr>
        <w:pStyle w:val="Normal"/>
        <w:spacing w:lineRule="auto" w:line="240" w:before="0" w:after="2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rPr/>
      </w:pPr>
      <w:r>
        <w:rPr>
          <w:color w:val="000000"/>
          <w:sz w:val="22"/>
          <w:szCs w:val="22"/>
          <w:shd w:fill="auto" w:val="clear"/>
        </w:rPr>
        <w:t>Dveřní křídlo vnitřní: sendvičová konstrukce (rám z masivu, výplň odlehčená dřevotřísková deska), povrch lakovaný PUR (odolný oděru) matný nebo z přírodní dýhy -dub světlý, s ochranným lakem matným. Rámové  nebo hladké provedení křídla, prosklení dělené (viz schéma). Zasklení bezpečnostním sklem.</w:t>
      </w:r>
    </w:p>
    <w:p>
      <w:pPr>
        <w:pStyle w:val="Normal"/>
        <w:spacing w:lineRule="auto" w:line="240" w:before="0" w:after="0"/>
        <w:rPr/>
      </w:pPr>
      <w:r>
        <w:rPr>
          <w:color w:val="000000"/>
          <w:sz w:val="22"/>
          <w:szCs w:val="22"/>
          <w:shd w:fill="auto" w:val="clear"/>
        </w:rPr>
        <w:t>Kování vyvzorkovat a nechat odsouhlasit architektem. M</w:t>
      </w:r>
      <w:r>
        <w:rPr>
          <w:color w:val="000000" w:themeColor="text1"/>
          <w:sz w:val="22"/>
          <w:szCs w:val="22"/>
          <w:shd w:fill="auto" w:val="clear"/>
        </w:rPr>
        <w:t>ateriál nerez ocel, povrch broušená nerez, kulatá rozeta, cylindrická vložka, v systému SGHK (systém generálního kklíče), klika/klika, klika/koule, wc kování s možností bezpečnostní demontáže. Zámky zadlabané. Dle specifikace kování bezpečnostní s bezpečnostní vložkou, s oboustrannou prostupovou vložkou. Budou použity 2 systémy generálního klíče (SGHK, G-generální, H-hlavní (skupinový).</w:t>
      </w:r>
    </w:p>
    <w:p>
      <w:pPr>
        <w:pStyle w:val="Normal"/>
        <w:spacing w:lineRule="auto" w:line="240" w:before="0" w:after="0"/>
        <w:rPr>
          <w:color w:val="000000" w:themeColor="text1"/>
        </w:rPr>
      </w:pPr>
      <w:r>
        <w:rPr>
          <w:color w:val="000000" w:themeColor="text1"/>
          <w:sz w:val="22"/>
          <w:szCs w:val="22"/>
          <w:shd w:fill="auto" w:val="clear"/>
        </w:rPr>
        <w:t xml:space="preserve">Vstupní dveře (domovní DV.02 a bytové D.09,D.14) budou provedeny jako bezpečnostní, vč. kování a vložky, </w:t>
      </w:r>
    </w:p>
    <w:p>
      <w:pPr>
        <w:pStyle w:val="Normal"/>
        <w:spacing w:lineRule="auto" w:line="240" w:before="0" w:after="0"/>
        <w:rPr>
          <w:color w:val="000000" w:themeColor="text1"/>
        </w:rPr>
      </w:pPr>
      <w:r>
        <w:rPr>
          <w:color w:val="000000" w:themeColor="text1"/>
          <w:sz w:val="22"/>
          <w:szCs w:val="22"/>
          <w:shd w:fill="auto" w:val="clear"/>
        </w:rPr>
        <w:t>s integrovaným vícebodovým bezpečnostním zámkem, panty, zárubní, u bytových plných se zvukovou izolací křídla 33-39dB.</w:t>
      </w:r>
    </w:p>
    <w:p>
      <w:pPr>
        <w:pStyle w:val="Normal"/>
        <w:spacing w:lineRule="auto" w:line="240" w:before="0" w:after="0"/>
        <w:rPr>
          <w:color w:val="000000" w:themeColor="text1"/>
        </w:rPr>
      </w:pPr>
      <w:r>
        <w:rPr>
          <w:color w:val="000000" w:themeColor="text1"/>
          <w:sz w:val="22"/>
          <w:szCs w:val="22"/>
          <w:shd w:fill="auto" w:val="clear"/>
        </w:rPr>
        <w:t>Závěsy stavitelné, nerez ocel, hladké bez ozdoby, u vstupních bytových bezpečnostní integrované seřizovací panty a pevné dvojité čepy .</w:t>
      </w:r>
    </w:p>
    <w:p>
      <w:pPr>
        <w:pStyle w:val="Normal"/>
        <w:spacing w:lineRule="auto" w:line="240" w:before="0" w:after="0"/>
        <w:rPr/>
      </w:pPr>
      <w:r>
        <w:rPr/>
        <w:t xml:space="preserve">Obložková zárubeň mdf lakovaná matná, slonová kost, š. 60mm, u vstupních dveří bezpečnostní zárubně ocelové s obložkou mdf dýhovanou. </w:t>
      </w:r>
    </w:p>
    <w:p>
      <w:pPr>
        <w:pStyle w:val="Normal"/>
        <w:spacing w:lineRule="auto" w:line="240" w:before="0" w:after="0"/>
        <w:rPr>
          <w:b/>
          <w:b/>
          <w:bCs/>
          <w:color w:val="000000"/>
          <w:sz w:val="22"/>
          <w:szCs w:val="22"/>
          <w:shd w:fill="auto" w:val="clear"/>
        </w:rPr>
      </w:pPr>
      <w:r>
        <w:rPr>
          <w:b/>
          <w:bCs/>
          <w:color w:val="000000"/>
          <w:sz w:val="22"/>
          <w:szCs w:val="22"/>
          <w:shd w:fill="auto" w:val="clear"/>
        </w:rPr>
      </w:r>
    </w:p>
    <w:tbl>
      <w:tblPr>
        <w:tblStyle w:val="Mkatabulky"/>
        <w:tblW w:w="9870" w:type="dxa"/>
        <w:jc w:val="left"/>
        <w:tblInd w:w="122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3345"/>
        <w:gridCol w:w="1635"/>
        <w:gridCol w:w="1364"/>
        <w:gridCol w:w="406"/>
        <w:gridCol w:w="2444"/>
      </w:tblGrid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OZN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popis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kování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rozměr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sv.šxv mm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ks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poznámka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podlaží, č.m.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cs-CZ" w:eastAsia="en-US" w:bidi="ar-SA"/>
              </w:rPr>
              <w:t>D.01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 , kovové, výpln tahokov ocel zárubeň, atyp,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součást Z.01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klika/ 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4"/>
                <w:lang w:val="cs-CZ" w:eastAsia="en-US" w:bidi="ar-SA"/>
              </w:rPr>
              <w:t>cylindrická jednostranná půlvložka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730/1600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1.pp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SGHK2 -G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D.02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kovové, rám s výplní tahokov, ocel zárubeň atyp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cylindrická jednostranná půlvložka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800x1600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1.pp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SGHK2 -G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D.03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kovové, rám s výplní tahokov,  ocel zárubeň, atyp,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součást Z.02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cylindrická jednostranná půlvložka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800x2000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L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1.pp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SGHK2 -G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D.04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hladké, plné, lak mat slon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cylindrická jednostranná půlvložka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800/1970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SGHK2 -G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D.05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dřevěné, jednokřídlé, rámové, dělené částečně prosklené, v prosklené stěně dělené vč., lak mat slonová kost, dřevěná zárubeň,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900/2200 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(</w:t>
            </w: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200</w:t>
            </w: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0/2200)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101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D.06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hladké, plné, lak mat slon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cylindrická jednostranná půlvložka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900/1970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104 do sklepa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SGHK2 -G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D.07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rámové, plné, lak mat slon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cylindrická oboustranná vložka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900/1970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L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SGHK1-G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D.08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hladké, plné, lak mat slonová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wc kování bezp. klika/klika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700/1970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L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 prahu-větrání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106, 2.np 207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 204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D.09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bezpečnostní vstupní bytové jednokřídlé, rámové, plné, dýha dub, ocel bezp. zárubeň s obložkou dýha, s kukátkem, bezpečnostní kování, vč. zapuštěného dubového prahu.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bezpečnostní cylindrická vložka oboustranná s prostupovou spojkou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900/1970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dřevěný práh zapuštěný v rovině podlahy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SGHK1-G, H1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D.10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 xml:space="preserve">jednokřídlé, rámové, dělené  prosklené, lak mat slon kost, </w:t>
            </w:r>
            <w:bookmarkStart w:id="0" w:name="__DdeLink__6200_892313864"/>
            <w:bookmarkEnd w:id="0"/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900/1970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103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D.11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hladké, plné, lak mat slon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wc kování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bezp, klika/klika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800/1970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 prahu-větrání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112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D.12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rámové, plné, lak mat slon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klika/klika+oliva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cylindrická vložka oboustranná s prostupovou spojkou s olivou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900/1970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1.np,111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108,110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SGHK1-G, H1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D.13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hladké, plné, lak mat slonová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wc kování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bezp, klika +madlo/klika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900/1970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L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107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 prahu-větrání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D.14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bezpečnostní vstupní bytové jednokřídlé, rámové, plné, dýha, ocel zárubeň bezpečnostní s obložkou dýha, s proskleným nadsvětlíkem, bezpečnostní kování, vč. dubovoho prahu niízkého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bezpečnostní cylindrická vložka oboustranná s prostupovou spojkou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800/1970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(2600mm vč. nadsvětlíku)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2.np, 208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dřevěný práh nízký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SGHK1-G, H2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sz w:val="22"/>
                <w:highlight w:val="yellow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sz w:val="22"/>
                <w:highlight w:val="yellow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sz w:val="22"/>
                <w:highlight w:val="yellow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D.15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rámové, plné, lak mat slon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cylindrická vložka oboustranná s prostupovou spojkou s olivou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800/1970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 205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202,203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SGHK1-G, H2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D.16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rámové dělené, prosklené, lak mat slon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800/1970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 206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D.17</w:t>
            </w:r>
          </w:p>
        </w:tc>
        <w:tc>
          <w:tcPr>
            <w:tcW w:w="33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jednokřídlé, hladké, plné, lak mat slon kost,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obložková zárubeň lak,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klika/klika</w:t>
            </w:r>
          </w:p>
        </w:tc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700/1970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L</w:t>
            </w:r>
          </w:p>
        </w:tc>
        <w:tc>
          <w:tcPr>
            <w:tcW w:w="4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4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2.np, 209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bez prahu-větrání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  <w:t>Dolňující poznámky: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  <w:t>Vstupní a terasové dveře jsou popsány v samostatné TABULCE VNĚJŠÍCH VÝPLNÍ.</w:t>
      </w:r>
    </w:p>
    <w:p>
      <w:pPr>
        <w:pStyle w:val="Normal"/>
        <w:spacing w:lineRule="auto" w:line="240" w:before="0" w:after="0"/>
        <w:rPr/>
      </w:pPr>
      <w:r>
        <w:rPr/>
        <w:t xml:space="preserve">V 1.np zajistit výšku 400m na „okop“ pro vozíčkáře 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rPr/>
      </w:pPr>
      <w:r>
        <w:rPr>
          <w:color w:val="000000" w:themeColor="text1"/>
        </w:rPr>
        <w:t xml:space="preserve">Budou použity 2 systémy generálního klíče (SGHK, G-generální, H-hlavní (skupinový), viz tabulka a součinnost uživatele. : </w:t>
      </w:r>
    </w:p>
    <w:p>
      <w:pPr>
        <w:pStyle w:val="Normal"/>
        <w:spacing w:lineRule="auto" w:line="240" w:before="0" w:after="0"/>
        <w:rPr/>
      </w:pPr>
      <w:r>
        <w:rPr>
          <w:color w:val="000000" w:themeColor="text1"/>
        </w:rPr>
        <w:t>Součástí SGHK1 jsou i dveře vnější vstupní domovní DV.02 a vstupní vrata Z.13</w:t>
      </w:r>
    </w:p>
    <w:p>
      <w:pPr>
        <w:pStyle w:val="Normal"/>
        <w:spacing w:lineRule="auto" w:line="240" w:before="0" w:after="0"/>
        <w:rPr>
          <w:color w:val="000000" w:themeColor="text1"/>
        </w:rPr>
      </w:pPr>
      <w:r>
        <w:rPr>
          <w:color w:val="000000" w:themeColor="text1"/>
        </w:rPr>
        <w:t>SGHK1-G- vstupní vrata, vstupní domovní dveře, vstupní bytové dveře 2x, pokoje 6x, kancelář; celkem  2ks</w:t>
      </w:r>
    </w:p>
    <w:p>
      <w:pPr>
        <w:pStyle w:val="Normal"/>
        <w:spacing w:lineRule="auto" w:line="240" w:before="0" w:after="0"/>
        <w:rPr>
          <w:color w:val="000000" w:themeColor="text1"/>
        </w:rPr>
      </w:pPr>
      <w:r>
        <w:rPr>
          <w:color w:val="000000" w:themeColor="text1"/>
        </w:rPr>
        <w:t>SGHK1-H- vstupní vrata, vstupní domovní dveře, vstupní bytové dveře 1x, pokoj jednotlivý 1x; celkem 6ks</w:t>
      </w:r>
    </w:p>
    <w:p>
      <w:pPr>
        <w:pStyle w:val="Normal"/>
        <w:spacing w:lineRule="auto" w:line="240" w:before="0" w:after="0"/>
        <w:rPr>
          <w:color w:val="000000" w:themeColor="text1"/>
        </w:rPr>
      </w:pPr>
      <w:r>
        <w:rPr>
          <w:color w:val="000000" w:themeColor="text1"/>
        </w:rPr>
        <w:t>SGHK2-G- sklad, vstup do suterénu, technická místnost, sklep, koje 2x, zahradní sklad</w:t>
      </w:r>
    </w:p>
    <w:p>
      <w:pPr>
        <w:pStyle w:val="Normal"/>
        <w:spacing w:lineRule="auto" w:line="240" w:before="0" w:after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spacing w:lineRule="auto" w:line="240" w:before="0" w:after="0"/>
        <w:rPr/>
      </w:pPr>
      <w:r>
        <w:rPr/>
        <w:t xml:space="preserve">Dveře osazeny ve zděných příčkách/přizdívkách  tl. 100/150mm nebo v sádrokartonové příčce tl.150mm. </w:t>
      </w:r>
    </w:p>
    <w:p>
      <w:pPr>
        <w:pStyle w:val="Normal"/>
        <w:spacing w:lineRule="auto" w:line="240" w:before="0" w:after="0"/>
        <w:rPr/>
      </w:pPr>
      <w:r>
        <w:rPr/>
        <w:t xml:space="preserve">Obložková zárubeň mdf lakovaná matná, slonová kost, š. 60mm, u vstupních dveří bezpečnostní zárubně ocelové s obložkou mdf dýhovanou.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Práh dřevěný masiv dub ve vstupních bytových dveří D.09, D.14 zapuštěný nebo dle možnosti nízký.</w:t>
      </w:r>
    </w:p>
    <w:p>
      <w:pPr>
        <w:pStyle w:val="Normal"/>
        <w:spacing w:lineRule="auto" w:line="240" w:before="0" w:after="0"/>
        <w:rPr/>
      </w:pPr>
      <w:r>
        <w:rPr/>
        <w:t xml:space="preserve">Kde není uvedeno, nebude osazen práh. Podlahová povlaková krytina (linoleum) probíhá, pouze svar povlakové krytiny, pod dveřním křídlem. V místě styku dlažby a povlakové krytiny bude ukončovací  L lišta pod dlažbu, pod dveřním křídlem.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29"/>
        <w:rPr/>
      </w:pPr>
      <w:r>
        <w:rPr/>
        <w:t>Kování : ilustrační foto: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-1905</wp:posOffset>
            </wp:positionH>
            <wp:positionV relativeFrom="paragraph">
              <wp:posOffset>122555</wp:posOffset>
            </wp:positionV>
            <wp:extent cx="2562225" cy="1763395"/>
            <wp:effectExtent l="0" t="0" r="0" b="0"/>
            <wp:wrapSquare wrapText="largest"/>
            <wp:docPr id="1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3054985</wp:posOffset>
            </wp:positionH>
            <wp:positionV relativeFrom="paragraph">
              <wp:posOffset>122555</wp:posOffset>
            </wp:positionV>
            <wp:extent cx="3279775" cy="1801495"/>
            <wp:effectExtent l="0" t="0" r="0" b="0"/>
            <wp:wrapSquare wrapText="larges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134" w:right="853" w:gutter="0" w:header="0" w:top="90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714e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Hyperlink"/>
    <w:basedOn w:val="DefaultParagraphFont"/>
    <w:uiPriority w:val="99"/>
    <w:unhideWhenUsed/>
    <w:rsid w:val="00bd1a59"/>
    <w:rPr>
      <w:color w:val="0000FF" w:themeColor="hyperlink"/>
      <w:u w:val="single"/>
    </w:rPr>
  </w:style>
  <w:style w:type="paragraph" w:styleId="Nadpis" w:customStyle="1">
    <w:name w:val="Nadpis"/>
    <w:basedOn w:val="Normal"/>
    <w:next w:val="Tlotextu"/>
    <w:qFormat/>
    <w:rsid w:val="00a15bd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a15bd9"/>
    <w:pPr>
      <w:spacing w:lineRule="auto" w:line="288" w:before="0" w:after="140"/>
    </w:pPr>
    <w:rPr/>
  </w:style>
  <w:style w:type="paragraph" w:styleId="Seznam">
    <w:name w:val="List"/>
    <w:basedOn w:val="Tlotextu"/>
    <w:rsid w:val="00a15bd9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a15bd9"/>
    <w:pPr>
      <w:suppressLineNumbers/>
    </w:pPr>
    <w:rPr>
      <w:rFonts w:cs="Arial"/>
    </w:rPr>
  </w:style>
  <w:style w:type="paragraph" w:styleId="Titulek1" w:customStyle="1">
    <w:name w:val="Titulek1"/>
    <w:basedOn w:val="Normal"/>
    <w:qFormat/>
    <w:rsid w:val="00a15bd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9462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06d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Application>LibreOffice/7.4.2.3$Windows_X86_64 LibreOffice_project/382eef1f22670f7f4118c8c2dd222ec7ad009daf</Application>
  <AppVersion>15.0000</AppVersion>
  <Pages>3</Pages>
  <Words>836</Words>
  <Characters>5122</Characters>
  <CharactersWithSpaces>5771</CharactersWithSpaces>
  <Paragraphs>202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2022-10-07T00:14:00Z</dcterms:created>
  <dc:creator>Zuzana</dc:creator>
  <dc:description/>
  <dc:language>cs-CZ</dc:language>
  <cp:lastModifiedBy/>
  <cp:lastPrinted>2022-11-21T05:25:50Z</cp:lastPrinted>
  <dcterms:modified xsi:type="dcterms:W3CDTF">2022-11-21T05:27:08Z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