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BF0BB" w14:textId="77777777" w:rsidR="00124B48" w:rsidRDefault="00124B48" w:rsidP="00E95162">
      <w:pPr>
        <w:jc w:val="both"/>
        <w:rPr>
          <w:b/>
          <w:sz w:val="28"/>
          <w:szCs w:val="28"/>
        </w:rPr>
      </w:pPr>
    </w:p>
    <w:p w14:paraId="562330B7" w14:textId="77777777" w:rsidR="00713796" w:rsidRDefault="00713796" w:rsidP="00E95162">
      <w:pPr>
        <w:jc w:val="both"/>
        <w:rPr>
          <w:b/>
          <w:sz w:val="28"/>
          <w:szCs w:val="28"/>
        </w:rPr>
      </w:pPr>
    </w:p>
    <w:p w14:paraId="20AF1EE9" w14:textId="0E76CB57" w:rsidR="0042580E" w:rsidRPr="00577386" w:rsidRDefault="0031315F" w:rsidP="00E95162">
      <w:pPr>
        <w:jc w:val="both"/>
        <w:rPr>
          <w:b/>
          <w:sz w:val="28"/>
          <w:szCs w:val="28"/>
        </w:rPr>
      </w:pPr>
      <w:r w:rsidRPr="00577386">
        <w:rPr>
          <w:b/>
          <w:sz w:val="28"/>
          <w:szCs w:val="28"/>
        </w:rPr>
        <w:t>Rozvoj systému hospodaření s energií KHK - Dálkové odečty spotřeb energií včetně systémové databáze</w:t>
      </w:r>
      <w:r w:rsidR="0042580E" w:rsidRPr="00577386">
        <w:rPr>
          <w:b/>
          <w:sz w:val="28"/>
          <w:szCs w:val="28"/>
        </w:rPr>
        <w:t xml:space="preserve"> </w:t>
      </w:r>
    </w:p>
    <w:p w14:paraId="79419679" w14:textId="77777777" w:rsidR="008753D7" w:rsidRPr="00577386" w:rsidRDefault="008753D7" w:rsidP="00E95162">
      <w:pPr>
        <w:jc w:val="both"/>
        <w:rPr>
          <w:b/>
        </w:rPr>
      </w:pPr>
    </w:p>
    <w:p w14:paraId="3345CA00" w14:textId="77777777" w:rsidR="00713796" w:rsidRPr="00577386" w:rsidRDefault="00713796" w:rsidP="00E95162">
      <w:pPr>
        <w:jc w:val="both"/>
        <w:rPr>
          <w:b/>
        </w:rPr>
      </w:pPr>
    </w:p>
    <w:p w14:paraId="1F10C7A1" w14:textId="77777777" w:rsidR="00713796" w:rsidRPr="00577386" w:rsidRDefault="00713796" w:rsidP="00E95162">
      <w:pPr>
        <w:jc w:val="both"/>
        <w:rPr>
          <w:b/>
        </w:rPr>
      </w:pPr>
    </w:p>
    <w:p w14:paraId="20548381" w14:textId="3D6BEFF1" w:rsidR="008753D7" w:rsidRPr="00577386" w:rsidRDefault="00DF1F56" w:rsidP="00DF1F56">
      <w:pPr>
        <w:widowControl w:val="0"/>
        <w:spacing w:after="0" w:line="276" w:lineRule="auto"/>
        <w:jc w:val="both"/>
        <w:rPr>
          <w:b/>
        </w:rPr>
      </w:pPr>
      <w:r w:rsidRPr="00577386">
        <w:rPr>
          <w:b/>
        </w:rPr>
        <w:t>Požadavky na systém sběru a vyhodnocení dat</w:t>
      </w:r>
    </w:p>
    <w:p w14:paraId="537209D2" w14:textId="77777777" w:rsidR="006520F8" w:rsidRPr="00577386" w:rsidRDefault="006520F8" w:rsidP="00E95162">
      <w:pPr>
        <w:jc w:val="both"/>
        <w:rPr>
          <w:b/>
        </w:rPr>
      </w:pPr>
    </w:p>
    <w:p w14:paraId="6545A9C1" w14:textId="36CE7217" w:rsidR="00917BF9" w:rsidRPr="00577386" w:rsidRDefault="00D72996" w:rsidP="00CD0BF9">
      <w:pPr>
        <w:jc w:val="both"/>
      </w:pPr>
      <w:r w:rsidRPr="00577386">
        <w:t>Předmět veřejné zak</w:t>
      </w:r>
      <w:r w:rsidR="00184EBB" w:rsidRPr="00577386">
        <w:t xml:space="preserve">ázky bude koncipován jako dodávka na „klíč“, kdy </w:t>
      </w:r>
      <w:r w:rsidR="00546080" w:rsidRPr="00577386">
        <w:t xml:space="preserve">předmětem zakázky bude navržení, </w:t>
      </w:r>
      <w:r w:rsidR="00184EBB" w:rsidRPr="00577386">
        <w:t xml:space="preserve">vybudování (dodávka, instalace, konfigurace) a provoz příslušné hardwarové, softwarové a komunikační infrastruktury umožňující provádět dálkové on-line odečty hodnot fakturačních měřidel v organizacích KHK zapojených do systému </w:t>
      </w:r>
      <w:r w:rsidR="00917BF9" w:rsidRPr="00577386">
        <w:t xml:space="preserve">energetického managementu (dále také „EnMS“) </w:t>
      </w:r>
      <w:r w:rsidR="00A668B5" w:rsidRPr="00577386">
        <w:t>v budovách ve vlastnictví KHK</w:t>
      </w:r>
      <w:r w:rsidR="00184EBB" w:rsidRPr="00577386">
        <w:t>, včetně zajištění veškeré nezbytné údržby, oprav, výměn a servisu předmětu zakázky</w:t>
      </w:r>
      <w:r w:rsidR="004B4C6A" w:rsidRPr="00577386">
        <w:t xml:space="preserve"> a jeho jednotlivých součástí</w:t>
      </w:r>
      <w:r w:rsidR="00917BF9" w:rsidRPr="00577386">
        <w:t xml:space="preserve">. </w:t>
      </w:r>
    </w:p>
    <w:p w14:paraId="3C8E2C4D" w14:textId="708EA452" w:rsidR="00917BF9" w:rsidRPr="00577386" w:rsidRDefault="00917BF9" w:rsidP="00CD0BF9">
      <w:pPr>
        <w:jc w:val="both"/>
      </w:pPr>
      <w:r w:rsidRPr="00577386">
        <w:t xml:space="preserve">S dodavatelem bude uzavřena </w:t>
      </w:r>
      <w:r w:rsidRPr="00577386">
        <w:rPr>
          <w:b/>
        </w:rPr>
        <w:t>smlouva o dílo</w:t>
      </w:r>
      <w:r w:rsidRPr="00577386">
        <w:t xml:space="preserve"> na vybudování, odladění, vyzkoušení a předání výše zmíněné </w:t>
      </w:r>
      <w:r w:rsidR="00546080" w:rsidRPr="00577386">
        <w:t xml:space="preserve">HW </w:t>
      </w:r>
      <w:r w:rsidRPr="00577386">
        <w:t xml:space="preserve">infrastruktury </w:t>
      </w:r>
      <w:r w:rsidR="00DA215C" w:rsidRPr="00577386">
        <w:t xml:space="preserve">a </w:t>
      </w:r>
      <w:r w:rsidR="00546080" w:rsidRPr="00577386">
        <w:t>informačního</w:t>
      </w:r>
      <w:r w:rsidR="00C52D98" w:rsidRPr="00577386">
        <w:t xml:space="preserve"> a databázového</w:t>
      </w:r>
      <w:r w:rsidR="00546080" w:rsidRPr="00577386">
        <w:t xml:space="preserve"> systém</w:t>
      </w:r>
      <w:r w:rsidR="00C52D98" w:rsidRPr="00577386">
        <w:t>u</w:t>
      </w:r>
      <w:r w:rsidR="00546080" w:rsidRPr="00577386">
        <w:t xml:space="preserve"> (dále také „</w:t>
      </w:r>
      <w:r w:rsidR="00546080" w:rsidRPr="00577386">
        <w:rPr>
          <w:b/>
        </w:rPr>
        <w:t>IDS</w:t>
      </w:r>
      <w:r w:rsidR="00546080" w:rsidRPr="00577386">
        <w:t xml:space="preserve">“) </w:t>
      </w:r>
      <w:r w:rsidR="00C52D98" w:rsidRPr="00577386">
        <w:t>včetně dokumentace a zaškolení</w:t>
      </w:r>
      <w:r w:rsidRPr="00577386">
        <w:t>.</w:t>
      </w:r>
      <w:r w:rsidR="00DA215C" w:rsidRPr="00577386">
        <w:t xml:space="preserve"> Dodavatel poskytne na dílo záruku </w:t>
      </w:r>
      <w:r w:rsidR="00DA215C" w:rsidRPr="00577386">
        <w:rPr>
          <w:b/>
        </w:rPr>
        <w:t>36</w:t>
      </w:r>
      <w:r w:rsidR="00DA215C" w:rsidRPr="00577386">
        <w:t xml:space="preserve"> měsíců.</w:t>
      </w:r>
    </w:p>
    <w:p w14:paraId="354661FC" w14:textId="183C47B3" w:rsidR="00917BF9" w:rsidRPr="00577386" w:rsidRDefault="00917BF9" w:rsidP="00CD0BF9">
      <w:pPr>
        <w:jc w:val="both"/>
      </w:pPr>
      <w:r w:rsidRPr="00577386">
        <w:t xml:space="preserve">Dále bude s dodavatelem uzavřena </w:t>
      </w:r>
      <w:r w:rsidRPr="00577386">
        <w:rPr>
          <w:b/>
        </w:rPr>
        <w:t>servisní smlouva</w:t>
      </w:r>
      <w:r w:rsidR="004B4C6A" w:rsidRPr="00577386">
        <w:t xml:space="preserve"> (</w:t>
      </w:r>
      <w:r w:rsidR="00721ED3" w:rsidRPr="00577386">
        <w:t>n</w:t>
      </w:r>
      <w:r w:rsidR="004B4C6A" w:rsidRPr="00577386">
        <w:t xml:space="preserve">a dobu </w:t>
      </w:r>
      <w:r w:rsidR="00546080" w:rsidRPr="00577386">
        <w:t>7 let</w:t>
      </w:r>
      <w:r w:rsidR="00FE6DEE" w:rsidRPr="00577386">
        <w:t>) s inflační doložkou</w:t>
      </w:r>
      <w:r w:rsidR="004B4C6A" w:rsidRPr="00577386">
        <w:t>, zabezpečující údržbu</w:t>
      </w:r>
      <w:r w:rsidR="00546080" w:rsidRPr="00577386">
        <w:t xml:space="preserve"> systému</w:t>
      </w:r>
      <w:r w:rsidR="004B4C6A" w:rsidRPr="00577386">
        <w:t>,</w:t>
      </w:r>
      <w:r w:rsidR="00546080" w:rsidRPr="00577386">
        <w:t xml:space="preserve"> zákaznickou podporu, u</w:t>
      </w:r>
      <w:r w:rsidR="007B48A3" w:rsidRPr="00577386">
        <w:t>p</w:t>
      </w:r>
      <w:r w:rsidR="00546080" w:rsidRPr="00577386">
        <w:t xml:space="preserve">grade, update, hot-line, </w:t>
      </w:r>
      <w:proofErr w:type="spellStart"/>
      <w:r w:rsidR="00546080" w:rsidRPr="00577386">
        <w:t>help-desk</w:t>
      </w:r>
      <w:proofErr w:type="spellEnd"/>
      <w:r w:rsidR="00DA215C" w:rsidRPr="00577386">
        <w:t xml:space="preserve">. </w:t>
      </w:r>
    </w:p>
    <w:p w14:paraId="2B42C857" w14:textId="38C6AD9D" w:rsidR="00C52D98" w:rsidRPr="00577386" w:rsidRDefault="00C52D98" w:rsidP="00CD0BF9">
      <w:pPr>
        <w:jc w:val="both"/>
      </w:pPr>
      <w:r w:rsidRPr="00577386">
        <w:t>Po uplynutí záruční doby poskytne dodavatel na dílo pozáruční servis po dobu dalších nejméně čtyř let.</w:t>
      </w:r>
    </w:p>
    <w:p w14:paraId="6829DC7B" w14:textId="281CC394" w:rsidR="00A668B5" w:rsidRPr="00577386" w:rsidRDefault="00A668B5" w:rsidP="00CD0BF9">
      <w:pPr>
        <w:jc w:val="both"/>
      </w:pPr>
      <w:r w:rsidRPr="00577386">
        <w:t>U fakturačních měřidel, u nichž jsou již nyní dálkově průběžně odečítány spotřeby dodavateli energií, bude využito dat od těchto doda</w:t>
      </w:r>
      <w:r w:rsidR="00F87567" w:rsidRPr="00577386">
        <w:t>vatelů (zejména ČEZ Distribuce,</w:t>
      </w:r>
      <w:r w:rsidRPr="00577386">
        <w:t xml:space="preserve"> </w:t>
      </w:r>
      <w:proofErr w:type="spellStart"/>
      <w:r w:rsidRPr="00577386">
        <w:t>GasNet</w:t>
      </w:r>
      <w:proofErr w:type="spellEnd"/>
      <w:r w:rsidR="00F87567" w:rsidRPr="00577386">
        <w:t xml:space="preserve"> a teplárenské společnosti</w:t>
      </w:r>
      <w:r w:rsidRPr="00577386">
        <w:t>).</w:t>
      </w:r>
    </w:p>
    <w:p w14:paraId="28FC5604" w14:textId="15D42895" w:rsidR="00E95162" w:rsidRPr="00577386" w:rsidRDefault="00E55249" w:rsidP="00CD0BF9">
      <w:pPr>
        <w:jc w:val="both"/>
      </w:pPr>
      <w:r w:rsidRPr="00577386">
        <w:t>Předpokládaný</w:t>
      </w:r>
      <w:r w:rsidR="0001663F" w:rsidRPr="00577386">
        <w:t xml:space="preserve"> p</w:t>
      </w:r>
      <w:r w:rsidR="00E95162" w:rsidRPr="00577386">
        <w:t>očet měřidel, která nejsou nyní snímána dálkově</w:t>
      </w:r>
      <w:r w:rsidR="00D40F47" w:rsidRPr="00577386">
        <w:t>,</w:t>
      </w:r>
      <w:r w:rsidR="00E95162" w:rsidRPr="00577386">
        <w:t xml:space="preserve"> je:</w:t>
      </w:r>
    </w:p>
    <w:p w14:paraId="737CB08A" w14:textId="2E4D3200" w:rsidR="00E95162" w:rsidRPr="00577386" w:rsidRDefault="00343B70" w:rsidP="00CD0BF9">
      <w:pPr>
        <w:pStyle w:val="Odstavecseseznamem"/>
        <w:numPr>
          <w:ilvl w:val="0"/>
          <w:numId w:val="1"/>
        </w:numPr>
        <w:jc w:val="both"/>
      </w:pPr>
      <w:r w:rsidRPr="00577386">
        <w:t>26</w:t>
      </w:r>
      <w:r w:rsidR="00E95162" w:rsidRPr="00577386">
        <w:t>0 elektroměrů</w:t>
      </w:r>
    </w:p>
    <w:p w14:paraId="118D9D37" w14:textId="7CE7A889" w:rsidR="00E95162" w:rsidRPr="00577386" w:rsidRDefault="00343B70" w:rsidP="00CD0BF9">
      <w:pPr>
        <w:pStyle w:val="Odstavecseseznamem"/>
        <w:numPr>
          <w:ilvl w:val="0"/>
          <w:numId w:val="1"/>
        </w:numPr>
        <w:jc w:val="both"/>
      </w:pPr>
      <w:r w:rsidRPr="00577386">
        <w:t>20</w:t>
      </w:r>
      <w:r w:rsidR="00E95162" w:rsidRPr="00577386">
        <w:t>0 plynoměrů</w:t>
      </w:r>
    </w:p>
    <w:p w14:paraId="00D4FCDC" w14:textId="77777777" w:rsidR="00E95162" w:rsidRPr="00577386" w:rsidRDefault="00E95162" w:rsidP="00CD0BF9">
      <w:pPr>
        <w:pStyle w:val="Odstavecseseznamem"/>
        <w:numPr>
          <w:ilvl w:val="0"/>
          <w:numId w:val="1"/>
        </w:numPr>
        <w:jc w:val="both"/>
      </w:pPr>
      <w:r w:rsidRPr="00577386">
        <w:t>3</w:t>
      </w:r>
      <w:r w:rsidR="008753D7" w:rsidRPr="00577386">
        <w:t>1</w:t>
      </w:r>
      <w:r w:rsidRPr="00577386">
        <w:t>0 vodoměrů</w:t>
      </w:r>
    </w:p>
    <w:p w14:paraId="05F5280B" w14:textId="52B7ABE4" w:rsidR="00E95162" w:rsidRPr="00577386" w:rsidRDefault="002627E5" w:rsidP="00CD0BF9">
      <w:pPr>
        <w:pStyle w:val="Odstavecseseznamem"/>
        <w:numPr>
          <w:ilvl w:val="0"/>
          <w:numId w:val="1"/>
        </w:numPr>
        <w:jc w:val="both"/>
      </w:pPr>
      <w:r w:rsidRPr="00577386">
        <w:t>60</w:t>
      </w:r>
      <w:r w:rsidR="00E95162" w:rsidRPr="00577386">
        <w:t xml:space="preserve"> kalorimetrů</w:t>
      </w:r>
    </w:p>
    <w:p w14:paraId="290DD03E" w14:textId="29468832" w:rsidR="00D40F47" w:rsidRPr="00577386" w:rsidRDefault="00D40F47" w:rsidP="00CD0BF9">
      <w:pPr>
        <w:jc w:val="both"/>
      </w:pPr>
      <w:r w:rsidRPr="00577386">
        <w:t xml:space="preserve">Součástí </w:t>
      </w:r>
      <w:r w:rsidR="00C21B80" w:rsidRPr="00577386">
        <w:t>IDS</w:t>
      </w:r>
      <w:r w:rsidRPr="00577386">
        <w:t xml:space="preserve"> bude modul e-</w:t>
      </w:r>
      <w:proofErr w:type="spellStart"/>
      <w:r w:rsidRPr="00577386">
        <w:t>learningu</w:t>
      </w:r>
      <w:proofErr w:type="spellEnd"/>
      <w:r w:rsidRPr="00577386">
        <w:t xml:space="preserve"> a kalendáře revizí (viz níže).</w:t>
      </w:r>
    </w:p>
    <w:p w14:paraId="11E3AB07" w14:textId="77777777" w:rsidR="00C21B80" w:rsidRPr="00577386" w:rsidRDefault="00C21B80" w:rsidP="00CD0BF9">
      <w:pPr>
        <w:jc w:val="both"/>
      </w:pPr>
    </w:p>
    <w:p w14:paraId="46DFB0D5" w14:textId="129CAFAA" w:rsidR="00D40F47" w:rsidRPr="00577386" w:rsidRDefault="00D40F47" w:rsidP="00CD0BF9">
      <w:pPr>
        <w:jc w:val="both"/>
      </w:pPr>
      <w:r w:rsidRPr="00577386">
        <w:t>Zadavatel požaduje implementaci a provoz I</w:t>
      </w:r>
      <w:r w:rsidR="00C52D98" w:rsidRPr="00577386">
        <w:t>D</w:t>
      </w:r>
      <w:r w:rsidRPr="00577386">
        <w:t>S v prostředí (cloudu) poskytovatele bez nutnosti jakékoli instalace na straně zadavatele pro neomezené užití zadavatelem a jím zřízenými organizacemi a ovládanými obchodními společnostmi, opravňující k neomezenému počtu přístupů zadavatele a jím zřízených organizací a ovládaných obchodních společností ke všem funkcionalitám produktu. Uživatelé a administrátoři objednatele budou do IS přistupovat pouze přes webový prohlížeč. Data bude poskytovatel v cloudu udržovat trvale.</w:t>
      </w:r>
    </w:p>
    <w:p w14:paraId="0E8FC841" w14:textId="77777777" w:rsidR="00D42DCD" w:rsidRPr="00577386" w:rsidRDefault="00D42DCD" w:rsidP="00E95162"/>
    <w:p w14:paraId="3D02162B" w14:textId="77777777" w:rsidR="00D42DCD" w:rsidRPr="00577386" w:rsidRDefault="00D42DCD" w:rsidP="00E95162">
      <w:r w:rsidRPr="00577386">
        <w:t xml:space="preserve"> </w:t>
      </w:r>
    </w:p>
    <w:p w14:paraId="14193E13" w14:textId="6508A66B" w:rsidR="00D42DCD" w:rsidRPr="00577386" w:rsidRDefault="00713796" w:rsidP="00D42DCD">
      <w:pPr>
        <w:rPr>
          <w:b/>
        </w:rPr>
      </w:pPr>
      <w:r w:rsidRPr="00577386">
        <w:rPr>
          <w:b/>
        </w:rPr>
        <w:lastRenderedPageBreak/>
        <w:t>Obecné</w:t>
      </w:r>
      <w:r w:rsidR="00D42DCD" w:rsidRPr="00577386">
        <w:rPr>
          <w:b/>
        </w:rPr>
        <w:t xml:space="preserve"> požadavky</w:t>
      </w:r>
      <w:r w:rsidRPr="00577386">
        <w:rPr>
          <w:b/>
        </w:rPr>
        <w:t xml:space="preserve"> zadavatele</w:t>
      </w:r>
      <w:r w:rsidR="00D42DCD" w:rsidRPr="00577386">
        <w:rPr>
          <w:b/>
        </w:rPr>
        <w:t xml:space="preserve"> na předmět zakázky: </w:t>
      </w:r>
    </w:p>
    <w:tbl>
      <w:tblPr>
        <w:tblStyle w:val="Mkatabulky"/>
        <w:tblW w:w="0" w:type="auto"/>
        <w:tblLook w:val="04A0" w:firstRow="1" w:lastRow="0" w:firstColumn="1" w:lastColumn="0" w:noHBand="0" w:noVBand="1"/>
      </w:tblPr>
      <w:tblGrid>
        <w:gridCol w:w="647"/>
        <w:gridCol w:w="7457"/>
        <w:gridCol w:w="958"/>
      </w:tblGrid>
      <w:tr w:rsidR="00CD0BF9" w:rsidRPr="00577386" w14:paraId="77C61581" w14:textId="77777777" w:rsidTr="00713796">
        <w:tc>
          <w:tcPr>
            <w:tcW w:w="647" w:type="dxa"/>
            <w:vAlign w:val="center"/>
          </w:tcPr>
          <w:p w14:paraId="6EBF3E17" w14:textId="31F561AC" w:rsidR="00CD0BF9" w:rsidRPr="00577386" w:rsidRDefault="00CD0BF9" w:rsidP="00713796">
            <w:pPr>
              <w:jc w:val="center"/>
              <w:rPr>
                <w:b/>
              </w:rPr>
            </w:pPr>
            <w:r w:rsidRPr="00577386">
              <w:rPr>
                <w:b/>
              </w:rPr>
              <w:t>Číslo</w:t>
            </w:r>
          </w:p>
        </w:tc>
        <w:tc>
          <w:tcPr>
            <w:tcW w:w="7457" w:type="dxa"/>
            <w:vAlign w:val="center"/>
          </w:tcPr>
          <w:p w14:paraId="39BDD963" w14:textId="71F72F8D" w:rsidR="00CD0BF9" w:rsidRPr="00577386" w:rsidRDefault="00CD0BF9" w:rsidP="00CD0BF9">
            <w:pPr>
              <w:jc w:val="center"/>
              <w:rPr>
                <w:b/>
              </w:rPr>
            </w:pPr>
            <w:r w:rsidRPr="00577386">
              <w:rPr>
                <w:b/>
              </w:rPr>
              <w:t>Požadavek</w:t>
            </w:r>
          </w:p>
        </w:tc>
        <w:tc>
          <w:tcPr>
            <w:tcW w:w="958" w:type="dxa"/>
            <w:vAlign w:val="center"/>
          </w:tcPr>
          <w:p w14:paraId="069BFBF1" w14:textId="57DA4D02" w:rsidR="00CD0BF9" w:rsidRPr="00577386" w:rsidRDefault="00CD0BF9" w:rsidP="00CD0BF9">
            <w:pPr>
              <w:jc w:val="center"/>
              <w:rPr>
                <w:b/>
              </w:rPr>
            </w:pPr>
            <w:r w:rsidRPr="00577386">
              <w:rPr>
                <w:b/>
              </w:rPr>
              <w:t>Splněno</w:t>
            </w:r>
          </w:p>
          <w:p w14:paraId="43498D7F" w14:textId="291D09C5" w:rsidR="00CD0BF9" w:rsidRPr="00577386" w:rsidRDefault="00CD0BF9" w:rsidP="00CD0BF9">
            <w:pPr>
              <w:jc w:val="center"/>
              <w:rPr>
                <w:b/>
              </w:rPr>
            </w:pPr>
            <w:r w:rsidRPr="00577386">
              <w:rPr>
                <w:b/>
              </w:rPr>
              <w:t>Ano/Ne</w:t>
            </w:r>
          </w:p>
        </w:tc>
      </w:tr>
      <w:tr w:rsidR="00CD0BF9" w:rsidRPr="00577386" w14:paraId="7493EAC0" w14:textId="77777777" w:rsidTr="00713796">
        <w:tc>
          <w:tcPr>
            <w:tcW w:w="647" w:type="dxa"/>
            <w:vAlign w:val="center"/>
          </w:tcPr>
          <w:p w14:paraId="0533E3F0" w14:textId="31D9280B" w:rsidR="00CD0BF9" w:rsidRPr="00577386" w:rsidRDefault="00CD0BF9" w:rsidP="00713796">
            <w:pPr>
              <w:jc w:val="center"/>
            </w:pPr>
            <w:r w:rsidRPr="00577386">
              <w:t>1</w:t>
            </w:r>
          </w:p>
        </w:tc>
        <w:tc>
          <w:tcPr>
            <w:tcW w:w="7457" w:type="dxa"/>
          </w:tcPr>
          <w:p w14:paraId="03F481C6" w14:textId="77777777" w:rsidR="00713796" w:rsidRPr="00577386" w:rsidRDefault="00713796" w:rsidP="00713796">
            <w:pPr>
              <w:rPr>
                <w:rFonts w:cstheme="minorHAnsi"/>
              </w:rPr>
            </w:pPr>
            <w:r w:rsidRPr="00577386">
              <w:rPr>
                <w:rFonts w:cstheme="minorHAnsi"/>
              </w:rPr>
              <w:t>Zhotovitel bude povinen zajistit, že veškeré vlastnosti IDS, včetně jeho update, legislativního update, upgrade a legislativního upgrade budou po celou dobu účinností této smlouvy odpovídat vždy aktuálním obecně platným právním předpisům ČR.</w:t>
            </w:r>
          </w:p>
          <w:p w14:paraId="32BC1B38" w14:textId="77777777" w:rsidR="00CD0BF9" w:rsidRPr="00577386" w:rsidRDefault="00CD0BF9" w:rsidP="00D42DCD"/>
        </w:tc>
        <w:tc>
          <w:tcPr>
            <w:tcW w:w="958" w:type="dxa"/>
          </w:tcPr>
          <w:p w14:paraId="756D138C" w14:textId="77777777" w:rsidR="00CD0BF9" w:rsidRPr="00577386" w:rsidRDefault="00CD0BF9" w:rsidP="00D42DCD"/>
        </w:tc>
      </w:tr>
      <w:tr w:rsidR="00CD0BF9" w:rsidRPr="00577386" w14:paraId="09789ED0" w14:textId="77777777" w:rsidTr="00713796">
        <w:tc>
          <w:tcPr>
            <w:tcW w:w="647" w:type="dxa"/>
            <w:vAlign w:val="center"/>
          </w:tcPr>
          <w:p w14:paraId="69A1C28E" w14:textId="72E20D3A" w:rsidR="00CD0BF9" w:rsidRPr="00577386" w:rsidRDefault="00CD0BF9" w:rsidP="00713796">
            <w:pPr>
              <w:jc w:val="center"/>
            </w:pPr>
            <w:r w:rsidRPr="00577386">
              <w:t>2</w:t>
            </w:r>
          </w:p>
        </w:tc>
        <w:tc>
          <w:tcPr>
            <w:tcW w:w="7457" w:type="dxa"/>
          </w:tcPr>
          <w:p w14:paraId="7DB1B6B2" w14:textId="359338E4" w:rsidR="00CD0BF9" w:rsidRPr="00577386" w:rsidRDefault="00713796" w:rsidP="00D42DCD">
            <w:r w:rsidRPr="00577386">
              <w:rPr>
                <w:rFonts w:cstheme="minorHAnsi"/>
              </w:rPr>
              <w:t>Všechny části dodaného řešení musí splňovat požadavky zákona č. 110/2019 Sb. o zpracování osobních údajů, aplikace musí umožňovat logovaní přidělených uživatelských oprávnění, logování svého provozu.</w:t>
            </w:r>
          </w:p>
        </w:tc>
        <w:tc>
          <w:tcPr>
            <w:tcW w:w="958" w:type="dxa"/>
          </w:tcPr>
          <w:p w14:paraId="25BAC732" w14:textId="77777777" w:rsidR="00CD0BF9" w:rsidRPr="00577386" w:rsidRDefault="00CD0BF9" w:rsidP="00D42DCD"/>
        </w:tc>
      </w:tr>
      <w:tr w:rsidR="00CD0BF9" w:rsidRPr="00577386" w14:paraId="6ADA8CB8" w14:textId="77777777" w:rsidTr="00713796">
        <w:tc>
          <w:tcPr>
            <w:tcW w:w="647" w:type="dxa"/>
            <w:vAlign w:val="center"/>
          </w:tcPr>
          <w:p w14:paraId="73713646" w14:textId="39DB3092" w:rsidR="00CD0BF9" w:rsidRPr="00577386" w:rsidRDefault="00713796" w:rsidP="00713796">
            <w:pPr>
              <w:jc w:val="center"/>
            </w:pPr>
            <w:r w:rsidRPr="00577386">
              <w:t>3</w:t>
            </w:r>
          </w:p>
        </w:tc>
        <w:tc>
          <w:tcPr>
            <w:tcW w:w="7457" w:type="dxa"/>
          </w:tcPr>
          <w:p w14:paraId="593C1BC8" w14:textId="59A27691" w:rsidR="00CD0BF9" w:rsidRPr="00577386" w:rsidRDefault="00713796" w:rsidP="00D42DCD">
            <w:r w:rsidRPr="00577386">
              <w:rPr>
                <w:rFonts w:cstheme="minorHAnsi"/>
              </w:rPr>
              <w:t>Nabízené řešení bude v souladu s požadavky (doporučeními) N</w:t>
            </w:r>
            <w:r w:rsidR="007B48A3" w:rsidRPr="00577386">
              <w:rPr>
                <w:rFonts w:cstheme="minorHAnsi"/>
              </w:rPr>
              <w:t>Ú</w:t>
            </w:r>
            <w:r w:rsidRPr="00577386">
              <w:rPr>
                <w:rFonts w:cstheme="minorHAnsi"/>
              </w:rPr>
              <w:t>KIB.</w:t>
            </w:r>
          </w:p>
        </w:tc>
        <w:tc>
          <w:tcPr>
            <w:tcW w:w="958" w:type="dxa"/>
          </w:tcPr>
          <w:p w14:paraId="7202A756" w14:textId="77777777" w:rsidR="00CD0BF9" w:rsidRPr="00577386" w:rsidRDefault="00CD0BF9" w:rsidP="00D42DCD"/>
        </w:tc>
      </w:tr>
      <w:tr w:rsidR="00CD0BF9" w:rsidRPr="00577386" w14:paraId="5925882C" w14:textId="77777777" w:rsidTr="00713796">
        <w:tc>
          <w:tcPr>
            <w:tcW w:w="647" w:type="dxa"/>
            <w:vAlign w:val="center"/>
          </w:tcPr>
          <w:p w14:paraId="5D55600F" w14:textId="28E32124" w:rsidR="00CD0BF9" w:rsidRPr="00577386" w:rsidRDefault="00713796" w:rsidP="00713796">
            <w:pPr>
              <w:jc w:val="center"/>
            </w:pPr>
            <w:r w:rsidRPr="00577386">
              <w:t>4</w:t>
            </w:r>
          </w:p>
        </w:tc>
        <w:tc>
          <w:tcPr>
            <w:tcW w:w="7457" w:type="dxa"/>
          </w:tcPr>
          <w:p w14:paraId="2F530AF9" w14:textId="1542AC5D" w:rsidR="00CD0BF9" w:rsidRPr="00577386" w:rsidRDefault="00713796" w:rsidP="00D42DCD">
            <w:r w:rsidRPr="00577386">
              <w:rPr>
                <w:rFonts w:cstheme="minorHAnsi"/>
              </w:rPr>
              <w:t>Součástí implementace jsou veškeré práce a služby nezbytné pro řádné a úplné zprovoznění díla včetně dokumentací a postupů pro správce a uživatele.</w:t>
            </w:r>
          </w:p>
        </w:tc>
        <w:tc>
          <w:tcPr>
            <w:tcW w:w="958" w:type="dxa"/>
          </w:tcPr>
          <w:p w14:paraId="1FD8BF09" w14:textId="77777777" w:rsidR="00CD0BF9" w:rsidRPr="00577386" w:rsidRDefault="00CD0BF9" w:rsidP="00D42DCD"/>
        </w:tc>
      </w:tr>
      <w:tr w:rsidR="00CD0BF9" w:rsidRPr="00577386" w14:paraId="280CA513" w14:textId="77777777" w:rsidTr="00713796">
        <w:tc>
          <w:tcPr>
            <w:tcW w:w="647" w:type="dxa"/>
            <w:vAlign w:val="center"/>
          </w:tcPr>
          <w:p w14:paraId="0FE5D9E7" w14:textId="2C7B1C39" w:rsidR="00CD0BF9" w:rsidRPr="00577386" w:rsidRDefault="00713796" w:rsidP="00713796">
            <w:pPr>
              <w:jc w:val="center"/>
            </w:pPr>
            <w:r w:rsidRPr="00577386">
              <w:t>5</w:t>
            </w:r>
          </w:p>
        </w:tc>
        <w:tc>
          <w:tcPr>
            <w:tcW w:w="7457" w:type="dxa"/>
          </w:tcPr>
          <w:p w14:paraId="7FE52531" w14:textId="0C55ECF2" w:rsidR="00CD0BF9" w:rsidRPr="00577386" w:rsidRDefault="00713796" w:rsidP="00D42DCD">
            <w:r w:rsidRPr="00577386">
              <w:rPr>
                <w:rFonts w:cstheme="minorHAnsi"/>
              </w:rPr>
              <w:t>Součástí budou rovněž práce a služby, které ve smlouvě nejsou uvedeny ale zhotovitel, jakožto odborník, o nich vědět měl nebo mohl vědět.</w:t>
            </w:r>
          </w:p>
        </w:tc>
        <w:tc>
          <w:tcPr>
            <w:tcW w:w="958" w:type="dxa"/>
          </w:tcPr>
          <w:p w14:paraId="14D0C46F" w14:textId="77777777" w:rsidR="00CD0BF9" w:rsidRPr="00577386" w:rsidRDefault="00CD0BF9" w:rsidP="00D42DCD"/>
        </w:tc>
      </w:tr>
      <w:tr w:rsidR="00CD0BF9" w:rsidRPr="00577386" w14:paraId="22D48461" w14:textId="77777777" w:rsidTr="00713796">
        <w:tc>
          <w:tcPr>
            <w:tcW w:w="647" w:type="dxa"/>
            <w:vAlign w:val="center"/>
          </w:tcPr>
          <w:p w14:paraId="0825A013" w14:textId="09F68EC0" w:rsidR="00CD0BF9" w:rsidRPr="00577386" w:rsidRDefault="00713796" w:rsidP="00713796">
            <w:pPr>
              <w:jc w:val="center"/>
            </w:pPr>
            <w:r w:rsidRPr="00577386">
              <w:t>6</w:t>
            </w:r>
          </w:p>
        </w:tc>
        <w:tc>
          <w:tcPr>
            <w:tcW w:w="7457" w:type="dxa"/>
          </w:tcPr>
          <w:p w14:paraId="267AA809" w14:textId="0B5A7659" w:rsidR="00CD0BF9" w:rsidRPr="00577386" w:rsidRDefault="00713796" w:rsidP="00D42DCD">
            <w:r w:rsidRPr="00577386">
              <w:rPr>
                <w:rFonts w:cstheme="minorHAnsi"/>
              </w:rPr>
              <w:t>IDS bude plně lokalizován v českém jazyce (uživatelské i administrátorské rozhraní, nápověda a dokumentace) včetně komunikace.</w:t>
            </w:r>
          </w:p>
        </w:tc>
        <w:tc>
          <w:tcPr>
            <w:tcW w:w="958" w:type="dxa"/>
          </w:tcPr>
          <w:p w14:paraId="4A8D1E69" w14:textId="77777777" w:rsidR="00CD0BF9" w:rsidRPr="00577386" w:rsidRDefault="00CD0BF9" w:rsidP="00D42DCD"/>
        </w:tc>
      </w:tr>
      <w:tr w:rsidR="00CD0BF9" w:rsidRPr="00577386" w14:paraId="118E24C3" w14:textId="77777777" w:rsidTr="00713796">
        <w:tc>
          <w:tcPr>
            <w:tcW w:w="647" w:type="dxa"/>
            <w:vAlign w:val="center"/>
          </w:tcPr>
          <w:p w14:paraId="4DE735BC" w14:textId="6E80E564" w:rsidR="00713796" w:rsidRPr="00577386" w:rsidRDefault="00713796" w:rsidP="00713796">
            <w:pPr>
              <w:jc w:val="center"/>
            </w:pPr>
            <w:r w:rsidRPr="00577386">
              <w:t>7</w:t>
            </w:r>
          </w:p>
        </w:tc>
        <w:tc>
          <w:tcPr>
            <w:tcW w:w="7457" w:type="dxa"/>
          </w:tcPr>
          <w:p w14:paraId="3A05457D" w14:textId="0C601A84" w:rsidR="00CD0BF9" w:rsidRPr="00577386" w:rsidRDefault="00713796" w:rsidP="00D42DCD">
            <w:r w:rsidRPr="00577386">
              <w:rPr>
                <w:rFonts w:cstheme="minorHAnsi"/>
              </w:rPr>
              <w:t>Nabízené řešení umožní hierarchické nastavování přístupových práv se stanovením rozsahu přístupu i stupně oprávnění manipulace se záznamem. Princip nastavování přístupových práv jednotlivým uživatelům musí vycházet z definice nejméně pěti uživatelských rolí a skupin, do kterých jsou samotní uživatelé přiřazovány.</w:t>
            </w:r>
          </w:p>
        </w:tc>
        <w:tc>
          <w:tcPr>
            <w:tcW w:w="958" w:type="dxa"/>
          </w:tcPr>
          <w:p w14:paraId="77479E3B" w14:textId="77777777" w:rsidR="00713796" w:rsidRPr="00577386" w:rsidRDefault="00713796" w:rsidP="00D42DCD"/>
        </w:tc>
      </w:tr>
      <w:tr w:rsidR="00713796" w:rsidRPr="00577386" w14:paraId="5D27084C" w14:textId="77777777" w:rsidTr="00713796">
        <w:tc>
          <w:tcPr>
            <w:tcW w:w="647" w:type="dxa"/>
            <w:vAlign w:val="center"/>
          </w:tcPr>
          <w:p w14:paraId="72340365" w14:textId="44CDEF54" w:rsidR="00713796" w:rsidRPr="00577386" w:rsidRDefault="00713796" w:rsidP="00713796">
            <w:pPr>
              <w:jc w:val="center"/>
            </w:pPr>
            <w:r w:rsidRPr="00577386">
              <w:t>8</w:t>
            </w:r>
          </w:p>
        </w:tc>
        <w:tc>
          <w:tcPr>
            <w:tcW w:w="7457" w:type="dxa"/>
          </w:tcPr>
          <w:p w14:paraId="50731BFF" w14:textId="02745AD9" w:rsidR="00713796" w:rsidRPr="00577386" w:rsidRDefault="00713796" w:rsidP="00D42DCD">
            <w:pPr>
              <w:rPr>
                <w:rFonts w:eastAsia="Times New Roman" w:cstheme="minorHAnsi"/>
              </w:rPr>
            </w:pPr>
            <w:r w:rsidRPr="00577386">
              <w:rPr>
                <w:rFonts w:cstheme="minorHAnsi"/>
              </w:rPr>
              <w:t>Nabízené řešení musí podporovat integraci se stávajícím IDM (Identity Management), který nyní kraj pro správu interních i externích uživatelů a rolí používá. Případný způsob a rozsah integrace s IDM bude předmětem analýzy a implementačního projektu.</w:t>
            </w:r>
          </w:p>
        </w:tc>
        <w:tc>
          <w:tcPr>
            <w:tcW w:w="958" w:type="dxa"/>
          </w:tcPr>
          <w:p w14:paraId="6B05EB76" w14:textId="77777777" w:rsidR="00713796" w:rsidRPr="00577386" w:rsidRDefault="00713796" w:rsidP="00D42DCD"/>
        </w:tc>
      </w:tr>
      <w:tr w:rsidR="00713796" w:rsidRPr="00577386" w14:paraId="4A811A35" w14:textId="77777777" w:rsidTr="00713796">
        <w:tc>
          <w:tcPr>
            <w:tcW w:w="647" w:type="dxa"/>
            <w:vAlign w:val="center"/>
          </w:tcPr>
          <w:p w14:paraId="6757E275" w14:textId="2B6341B6" w:rsidR="00713796" w:rsidRPr="00577386" w:rsidRDefault="00713796" w:rsidP="00713796">
            <w:pPr>
              <w:jc w:val="center"/>
            </w:pPr>
            <w:r w:rsidRPr="00577386">
              <w:t>9</w:t>
            </w:r>
          </w:p>
        </w:tc>
        <w:tc>
          <w:tcPr>
            <w:tcW w:w="7457" w:type="dxa"/>
          </w:tcPr>
          <w:p w14:paraId="3197A28F" w14:textId="10570323" w:rsidR="00713796" w:rsidRPr="00577386" w:rsidRDefault="00713796" w:rsidP="00D42DCD">
            <w:pPr>
              <w:rPr>
                <w:rFonts w:eastAsia="Times New Roman" w:cstheme="minorHAnsi"/>
              </w:rPr>
            </w:pPr>
            <w:r w:rsidRPr="00577386">
              <w:rPr>
                <w:rFonts w:cstheme="minorHAnsi"/>
              </w:rPr>
              <w:t>Nabízené řešení bude obsahovat otevřené popsané komunikační rozhraní pro integraci s externími systémy včetně datového skladu zadavatele (na principu webových služeb).</w:t>
            </w:r>
          </w:p>
        </w:tc>
        <w:tc>
          <w:tcPr>
            <w:tcW w:w="958" w:type="dxa"/>
          </w:tcPr>
          <w:p w14:paraId="21440BB0" w14:textId="77777777" w:rsidR="00713796" w:rsidRPr="00577386" w:rsidRDefault="00713796" w:rsidP="00D42DCD"/>
        </w:tc>
      </w:tr>
      <w:tr w:rsidR="00713796" w:rsidRPr="00577386" w14:paraId="7893A62D" w14:textId="77777777" w:rsidTr="00713796">
        <w:tc>
          <w:tcPr>
            <w:tcW w:w="647" w:type="dxa"/>
            <w:vAlign w:val="center"/>
          </w:tcPr>
          <w:p w14:paraId="05B47B9E" w14:textId="19DCA595" w:rsidR="00713796" w:rsidRPr="00577386" w:rsidRDefault="00713796" w:rsidP="00713796">
            <w:pPr>
              <w:jc w:val="center"/>
            </w:pPr>
            <w:r w:rsidRPr="00577386">
              <w:t>10</w:t>
            </w:r>
          </w:p>
        </w:tc>
        <w:tc>
          <w:tcPr>
            <w:tcW w:w="7457" w:type="dxa"/>
          </w:tcPr>
          <w:p w14:paraId="77F70767" w14:textId="5BE2BC48" w:rsidR="00713796" w:rsidRPr="00577386" w:rsidRDefault="00713796" w:rsidP="00D42DCD">
            <w:pPr>
              <w:rPr>
                <w:rFonts w:eastAsia="Times New Roman" w:cstheme="minorHAnsi"/>
              </w:rPr>
            </w:pPr>
            <w:r w:rsidRPr="00577386">
              <w:rPr>
                <w:rFonts w:cstheme="minorHAnsi"/>
              </w:rPr>
              <w:t xml:space="preserve">Nabízené řešení musí být přístupné prostřednictvím aktuálních verzí webových prohlížečů Microsoft </w:t>
            </w:r>
            <w:proofErr w:type="spellStart"/>
            <w:r w:rsidRPr="00577386">
              <w:rPr>
                <w:rFonts w:cstheme="minorHAnsi"/>
              </w:rPr>
              <w:t>Edge</w:t>
            </w:r>
            <w:proofErr w:type="spellEnd"/>
            <w:r w:rsidRPr="00577386">
              <w:rPr>
                <w:rFonts w:cstheme="minorHAnsi"/>
              </w:rPr>
              <w:t xml:space="preserve">, Google Chrome, </w:t>
            </w:r>
            <w:proofErr w:type="spellStart"/>
            <w:r w:rsidRPr="00577386">
              <w:rPr>
                <w:rFonts w:cstheme="minorHAnsi"/>
              </w:rPr>
              <w:t>Mozilla</w:t>
            </w:r>
            <w:proofErr w:type="spellEnd"/>
            <w:r w:rsidRPr="00577386">
              <w:rPr>
                <w:rFonts w:cstheme="minorHAnsi"/>
              </w:rPr>
              <w:t xml:space="preserve"> </w:t>
            </w:r>
            <w:proofErr w:type="spellStart"/>
            <w:r w:rsidRPr="00577386">
              <w:rPr>
                <w:rFonts w:cstheme="minorHAnsi"/>
              </w:rPr>
              <w:t>Firefox</w:t>
            </w:r>
            <w:proofErr w:type="spellEnd"/>
            <w:r w:rsidRPr="00577386">
              <w:rPr>
                <w:rFonts w:cstheme="minorHAnsi"/>
              </w:rPr>
              <w:t xml:space="preserve"> a Safari, ve formátu HTML5 bez nutnosti instalovat rozšíření. V případě použití nepodporovaného prohlížeče musí být uživatel na tuto skutečnost upozorněn včetně seznamu podporovaných prohlížečů. Upozornění musí být v českém jazyce.</w:t>
            </w:r>
          </w:p>
        </w:tc>
        <w:tc>
          <w:tcPr>
            <w:tcW w:w="958" w:type="dxa"/>
          </w:tcPr>
          <w:p w14:paraId="5AE404A9" w14:textId="77777777" w:rsidR="00713796" w:rsidRPr="00577386" w:rsidRDefault="00713796" w:rsidP="00D42DCD"/>
        </w:tc>
      </w:tr>
      <w:tr w:rsidR="00713796" w:rsidRPr="00577386" w14:paraId="60D88040" w14:textId="77777777" w:rsidTr="00713796">
        <w:tc>
          <w:tcPr>
            <w:tcW w:w="647" w:type="dxa"/>
            <w:vAlign w:val="center"/>
          </w:tcPr>
          <w:p w14:paraId="11B19B0A" w14:textId="3D0765A6" w:rsidR="00713796" w:rsidRPr="00577386" w:rsidRDefault="00713796" w:rsidP="00713796">
            <w:pPr>
              <w:jc w:val="center"/>
            </w:pPr>
            <w:r w:rsidRPr="00577386">
              <w:t>11</w:t>
            </w:r>
          </w:p>
        </w:tc>
        <w:tc>
          <w:tcPr>
            <w:tcW w:w="7457" w:type="dxa"/>
          </w:tcPr>
          <w:p w14:paraId="65958960" w14:textId="3443663E" w:rsidR="00713796" w:rsidRPr="00577386" w:rsidRDefault="00713796" w:rsidP="00D42DCD">
            <w:pPr>
              <w:rPr>
                <w:rFonts w:eastAsia="Times New Roman" w:cstheme="minorHAnsi"/>
              </w:rPr>
            </w:pPr>
            <w:r w:rsidRPr="00577386">
              <w:rPr>
                <w:rFonts w:cstheme="minorHAnsi"/>
              </w:rPr>
              <w:t xml:space="preserve">Pro Energetické manažery je požadován přístup z mobilních zařízení (mobilní aplikace). Podporované platformy musí být minimálně systémy Android a </w:t>
            </w:r>
            <w:proofErr w:type="spellStart"/>
            <w:r w:rsidRPr="00577386">
              <w:rPr>
                <w:rFonts w:cstheme="minorHAnsi"/>
              </w:rPr>
              <w:t>iOS</w:t>
            </w:r>
            <w:proofErr w:type="spellEnd"/>
            <w:r w:rsidRPr="00577386">
              <w:rPr>
                <w:rFonts w:cstheme="minorHAnsi"/>
              </w:rPr>
              <w:t>.</w:t>
            </w:r>
          </w:p>
        </w:tc>
        <w:tc>
          <w:tcPr>
            <w:tcW w:w="958" w:type="dxa"/>
          </w:tcPr>
          <w:p w14:paraId="34C4114D" w14:textId="77777777" w:rsidR="00713796" w:rsidRPr="00577386" w:rsidRDefault="00713796" w:rsidP="00D42DCD"/>
        </w:tc>
      </w:tr>
      <w:tr w:rsidR="00713796" w:rsidRPr="00577386" w14:paraId="0BDBF677" w14:textId="77777777" w:rsidTr="00713796">
        <w:tc>
          <w:tcPr>
            <w:tcW w:w="647" w:type="dxa"/>
            <w:vAlign w:val="center"/>
          </w:tcPr>
          <w:p w14:paraId="1C8C4BF7" w14:textId="5FD372C9" w:rsidR="00713796" w:rsidRPr="00577386" w:rsidRDefault="00713796" w:rsidP="00713796">
            <w:pPr>
              <w:jc w:val="center"/>
            </w:pPr>
            <w:r w:rsidRPr="00577386">
              <w:t>12</w:t>
            </w:r>
          </w:p>
        </w:tc>
        <w:tc>
          <w:tcPr>
            <w:tcW w:w="7457" w:type="dxa"/>
          </w:tcPr>
          <w:p w14:paraId="4D4B033E" w14:textId="12394BC9" w:rsidR="00713796" w:rsidRPr="00577386" w:rsidRDefault="00713796" w:rsidP="00D42DCD">
            <w:pPr>
              <w:rPr>
                <w:rFonts w:eastAsia="Times New Roman" w:cstheme="minorHAnsi"/>
              </w:rPr>
            </w:pPr>
            <w:r w:rsidRPr="00577386">
              <w:rPr>
                <w:rFonts w:cstheme="minorHAnsi"/>
              </w:rPr>
              <w:t xml:space="preserve">Nabízené řešení musí umožňovat export dat KHK ve formátu </w:t>
            </w:r>
            <w:proofErr w:type="spellStart"/>
            <w:r w:rsidRPr="00577386">
              <w:rPr>
                <w:rFonts w:cstheme="minorHAnsi"/>
              </w:rPr>
              <w:t>csv</w:t>
            </w:r>
            <w:proofErr w:type="spellEnd"/>
            <w:r w:rsidRPr="00577386">
              <w:rPr>
                <w:rFonts w:cstheme="minorHAnsi"/>
              </w:rPr>
              <w:t xml:space="preserve"> nebo </w:t>
            </w:r>
            <w:proofErr w:type="spellStart"/>
            <w:r w:rsidRPr="00577386">
              <w:rPr>
                <w:rFonts w:cstheme="minorHAnsi"/>
              </w:rPr>
              <w:t>xls</w:t>
            </w:r>
            <w:proofErr w:type="spellEnd"/>
            <w:r w:rsidRPr="00577386">
              <w:rPr>
                <w:rFonts w:cstheme="minorHAnsi"/>
              </w:rPr>
              <w:t>.</w:t>
            </w:r>
          </w:p>
        </w:tc>
        <w:tc>
          <w:tcPr>
            <w:tcW w:w="958" w:type="dxa"/>
          </w:tcPr>
          <w:p w14:paraId="51C84A6C" w14:textId="77777777" w:rsidR="00713796" w:rsidRPr="00577386" w:rsidRDefault="00713796" w:rsidP="00D42DCD"/>
        </w:tc>
      </w:tr>
      <w:tr w:rsidR="00713796" w:rsidRPr="00577386" w14:paraId="449D491D" w14:textId="77777777" w:rsidTr="00713796">
        <w:tc>
          <w:tcPr>
            <w:tcW w:w="647" w:type="dxa"/>
            <w:vAlign w:val="center"/>
          </w:tcPr>
          <w:p w14:paraId="6DD3BE4B" w14:textId="4DE76EEC" w:rsidR="00713796" w:rsidRPr="00577386" w:rsidRDefault="00713796" w:rsidP="00713796">
            <w:pPr>
              <w:jc w:val="center"/>
            </w:pPr>
            <w:r w:rsidRPr="00577386">
              <w:t>13</w:t>
            </w:r>
          </w:p>
        </w:tc>
        <w:tc>
          <w:tcPr>
            <w:tcW w:w="7457" w:type="dxa"/>
          </w:tcPr>
          <w:p w14:paraId="558C20D6" w14:textId="77777777" w:rsidR="00713796" w:rsidRPr="00577386" w:rsidRDefault="00713796" w:rsidP="00713796">
            <w:pPr>
              <w:autoSpaceDE w:val="0"/>
              <w:autoSpaceDN w:val="0"/>
              <w:adjustRightInd w:val="0"/>
              <w:rPr>
                <w:rFonts w:eastAsia="Times New Roman" w:cstheme="minorHAnsi"/>
              </w:rPr>
            </w:pPr>
            <w:r w:rsidRPr="00577386">
              <w:rPr>
                <w:rFonts w:cstheme="minorHAnsi"/>
              </w:rPr>
              <w:t>IDS musí v evidenčním systému ukládat kompletní historie změn.</w:t>
            </w:r>
          </w:p>
          <w:p w14:paraId="6F384372" w14:textId="77777777" w:rsidR="00713796" w:rsidRPr="00577386" w:rsidRDefault="00713796" w:rsidP="00D42DCD">
            <w:pPr>
              <w:rPr>
                <w:rFonts w:eastAsia="Times New Roman" w:cstheme="minorHAnsi"/>
              </w:rPr>
            </w:pPr>
          </w:p>
        </w:tc>
        <w:tc>
          <w:tcPr>
            <w:tcW w:w="958" w:type="dxa"/>
          </w:tcPr>
          <w:p w14:paraId="5C806486" w14:textId="77777777" w:rsidR="00713796" w:rsidRPr="00577386" w:rsidRDefault="00713796" w:rsidP="00D42DCD"/>
        </w:tc>
      </w:tr>
      <w:tr w:rsidR="00713796" w:rsidRPr="00577386" w14:paraId="5F411E8C" w14:textId="77777777" w:rsidTr="00713796">
        <w:tc>
          <w:tcPr>
            <w:tcW w:w="647" w:type="dxa"/>
            <w:vAlign w:val="center"/>
          </w:tcPr>
          <w:p w14:paraId="3CE528C1" w14:textId="42972EC6" w:rsidR="00713796" w:rsidRPr="00577386" w:rsidRDefault="00713796" w:rsidP="00713796">
            <w:pPr>
              <w:jc w:val="center"/>
            </w:pPr>
            <w:r w:rsidRPr="00577386">
              <w:t>14</w:t>
            </w:r>
          </w:p>
        </w:tc>
        <w:tc>
          <w:tcPr>
            <w:tcW w:w="7457" w:type="dxa"/>
          </w:tcPr>
          <w:p w14:paraId="38AEC2DB" w14:textId="77777777" w:rsidR="00713796" w:rsidRPr="00577386" w:rsidRDefault="00713796" w:rsidP="00713796">
            <w:pPr>
              <w:autoSpaceDE w:val="0"/>
              <w:autoSpaceDN w:val="0"/>
              <w:adjustRightInd w:val="0"/>
              <w:rPr>
                <w:rFonts w:eastAsia="Times New Roman" w:cstheme="minorHAnsi"/>
              </w:rPr>
            </w:pPr>
            <w:r w:rsidRPr="00577386">
              <w:rPr>
                <w:rFonts w:cstheme="minorHAnsi"/>
              </w:rPr>
              <w:t>Zkušební provoz bude součástí realizační fáze (implementace). Na konci zkušebního provozu provede zhotovitel akceptační a bezpečnostní testy.</w:t>
            </w:r>
          </w:p>
          <w:p w14:paraId="3E5935E7" w14:textId="77777777" w:rsidR="00713796" w:rsidRPr="00577386" w:rsidRDefault="00713796" w:rsidP="00D42DCD">
            <w:pPr>
              <w:rPr>
                <w:rFonts w:eastAsia="Times New Roman" w:cstheme="minorHAnsi"/>
              </w:rPr>
            </w:pPr>
          </w:p>
        </w:tc>
        <w:tc>
          <w:tcPr>
            <w:tcW w:w="958" w:type="dxa"/>
          </w:tcPr>
          <w:p w14:paraId="7F75A4D3" w14:textId="77777777" w:rsidR="00713796" w:rsidRPr="00577386" w:rsidRDefault="00713796" w:rsidP="00D42DCD"/>
        </w:tc>
      </w:tr>
      <w:tr w:rsidR="00713796" w:rsidRPr="00577386" w14:paraId="53E5C028" w14:textId="77777777" w:rsidTr="00713796">
        <w:tc>
          <w:tcPr>
            <w:tcW w:w="647" w:type="dxa"/>
            <w:vAlign w:val="center"/>
          </w:tcPr>
          <w:p w14:paraId="6CA0F37E" w14:textId="79B07493" w:rsidR="00713796" w:rsidRPr="00577386" w:rsidRDefault="00FE1E96" w:rsidP="00713796">
            <w:pPr>
              <w:jc w:val="center"/>
            </w:pPr>
            <w:r w:rsidRPr="00577386">
              <w:t>15</w:t>
            </w:r>
          </w:p>
        </w:tc>
        <w:tc>
          <w:tcPr>
            <w:tcW w:w="7457" w:type="dxa"/>
          </w:tcPr>
          <w:p w14:paraId="75AA0A1A" w14:textId="2C18AE8F" w:rsidR="00713796" w:rsidRPr="00577386" w:rsidRDefault="00FE1E96" w:rsidP="00D42DCD">
            <w:pPr>
              <w:rPr>
                <w:rFonts w:eastAsia="Times New Roman" w:cstheme="minorHAnsi"/>
              </w:rPr>
            </w:pPr>
            <w:r w:rsidRPr="00577386">
              <w:rPr>
                <w:rFonts w:cstheme="minorHAnsi"/>
              </w:rPr>
              <w:t>Zadavatel požaduje poskytnutí licencí k produktu pro neomezené užití zadavatelem a jím zřízenými organizacemi a ovládanými obchodními společnostmi, opravňující k přístupům zadavatele a jím zřízených organizací a ovládaných obchodních společností ke všem funkcionalitám produktu.</w:t>
            </w:r>
          </w:p>
        </w:tc>
        <w:tc>
          <w:tcPr>
            <w:tcW w:w="958" w:type="dxa"/>
          </w:tcPr>
          <w:p w14:paraId="175285DA" w14:textId="77777777" w:rsidR="00713796" w:rsidRPr="00577386" w:rsidRDefault="00713796" w:rsidP="00D42DCD"/>
        </w:tc>
      </w:tr>
      <w:tr w:rsidR="00713796" w:rsidRPr="00577386" w14:paraId="0076459A" w14:textId="77777777" w:rsidTr="00713796">
        <w:tc>
          <w:tcPr>
            <w:tcW w:w="647" w:type="dxa"/>
            <w:vAlign w:val="center"/>
          </w:tcPr>
          <w:p w14:paraId="2640034D" w14:textId="01752BFC" w:rsidR="00713796" w:rsidRPr="00577386" w:rsidRDefault="00FE1E96" w:rsidP="00713796">
            <w:pPr>
              <w:jc w:val="center"/>
            </w:pPr>
            <w:r w:rsidRPr="00577386">
              <w:t>16</w:t>
            </w:r>
          </w:p>
        </w:tc>
        <w:tc>
          <w:tcPr>
            <w:tcW w:w="7457" w:type="dxa"/>
          </w:tcPr>
          <w:p w14:paraId="00CB66A9" w14:textId="682DC0CE" w:rsidR="00713796" w:rsidRPr="00577386" w:rsidRDefault="00FE1E96" w:rsidP="00FE1E96">
            <w:pPr>
              <w:autoSpaceDE w:val="0"/>
              <w:autoSpaceDN w:val="0"/>
              <w:adjustRightInd w:val="0"/>
              <w:rPr>
                <w:rFonts w:eastAsia="Times New Roman" w:cstheme="minorHAnsi"/>
              </w:rPr>
            </w:pPr>
            <w:r w:rsidRPr="00577386">
              <w:rPr>
                <w:rFonts w:cstheme="minorHAnsi"/>
              </w:rPr>
              <w:t>Zadavatel bude oprávněn udělit právo užití licence i jiným zřízeným a zakládaným organizacím Královéhradeckého kraje.</w:t>
            </w:r>
          </w:p>
        </w:tc>
        <w:tc>
          <w:tcPr>
            <w:tcW w:w="958" w:type="dxa"/>
          </w:tcPr>
          <w:p w14:paraId="162E1207" w14:textId="77777777" w:rsidR="00713796" w:rsidRPr="00577386" w:rsidRDefault="00713796" w:rsidP="00D42DCD"/>
        </w:tc>
      </w:tr>
      <w:tr w:rsidR="00713796" w:rsidRPr="00577386" w14:paraId="2DC14B34" w14:textId="77777777" w:rsidTr="00713796">
        <w:tc>
          <w:tcPr>
            <w:tcW w:w="647" w:type="dxa"/>
            <w:vAlign w:val="center"/>
          </w:tcPr>
          <w:p w14:paraId="08B87049" w14:textId="07250A56" w:rsidR="00713796" w:rsidRPr="00577386" w:rsidRDefault="00FE1E96" w:rsidP="00713796">
            <w:pPr>
              <w:jc w:val="center"/>
            </w:pPr>
            <w:r w:rsidRPr="00577386">
              <w:t>17</w:t>
            </w:r>
          </w:p>
        </w:tc>
        <w:tc>
          <w:tcPr>
            <w:tcW w:w="7457" w:type="dxa"/>
          </w:tcPr>
          <w:p w14:paraId="26B85D83" w14:textId="3B682E44" w:rsidR="00713796" w:rsidRPr="00577386" w:rsidRDefault="00FE1E96" w:rsidP="00D42DCD">
            <w:pPr>
              <w:rPr>
                <w:rFonts w:eastAsia="Times New Roman" w:cstheme="minorHAnsi"/>
              </w:rPr>
            </w:pPr>
            <w:r w:rsidRPr="00577386">
              <w:rPr>
                <w:rFonts w:cstheme="minorHAnsi"/>
              </w:rPr>
              <w:t>Licence produktu zahrnuje rozhraní pro neomezený počet informačních systémů třetích stran (identity management, datový sklad kraje, …).</w:t>
            </w:r>
          </w:p>
        </w:tc>
        <w:tc>
          <w:tcPr>
            <w:tcW w:w="958" w:type="dxa"/>
          </w:tcPr>
          <w:p w14:paraId="09E83EE3" w14:textId="77777777" w:rsidR="00713796" w:rsidRPr="00577386" w:rsidRDefault="00713796" w:rsidP="00D42DCD"/>
        </w:tc>
      </w:tr>
    </w:tbl>
    <w:p w14:paraId="3EF28A4D" w14:textId="77777777" w:rsidR="00FE1E96" w:rsidRPr="00577386" w:rsidRDefault="00FE1E96">
      <w:r w:rsidRPr="00577386">
        <w:br w:type="page"/>
      </w:r>
    </w:p>
    <w:p w14:paraId="330A4A07" w14:textId="7F959F4B" w:rsidR="00FE1E96" w:rsidRPr="00577386" w:rsidRDefault="00FE1E96">
      <w:pPr>
        <w:rPr>
          <w:b/>
        </w:rPr>
      </w:pPr>
      <w:r w:rsidRPr="00577386">
        <w:rPr>
          <w:b/>
        </w:rPr>
        <w:lastRenderedPageBreak/>
        <w:t>Požadavky na funkcionalitu</w:t>
      </w:r>
      <w:r w:rsidR="00FB3638" w:rsidRPr="00577386">
        <w:rPr>
          <w:b/>
        </w:rPr>
        <w:t>:</w:t>
      </w:r>
    </w:p>
    <w:tbl>
      <w:tblPr>
        <w:tblStyle w:val="Mkatabulky"/>
        <w:tblW w:w="0" w:type="auto"/>
        <w:tblLook w:val="04A0" w:firstRow="1" w:lastRow="0" w:firstColumn="1" w:lastColumn="0" w:noHBand="0" w:noVBand="1"/>
      </w:tblPr>
      <w:tblGrid>
        <w:gridCol w:w="647"/>
        <w:gridCol w:w="7457"/>
        <w:gridCol w:w="958"/>
      </w:tblGrid>
      <w:tr w:rsidR="00FE1E96" w:rsidRPr="00577386" w14:paraId="417FDF4E" w14:textId="77777777" w:rsidTr="00372AFD">
        <w:tc>
          <w:tcPr>
            <w:tcW w:w="647" w:type="dxa"/>
            <w:vAlign w:val="center"/>
          </w:tcPr>
          <w:p w14:paraId="1EDE7F82" w14:textId="630DA8DB" w:rsidR="00FE1E96" w:rsidRPr="00577386" w:rsidRDefault="00FE1E96" w:rsidP="00FE1E96">
            <w:pPr>
              <w:jc w:val="center"/>
            </w:pPr>
            <w:r w:rsidRPr="00577386">
              <w:rPr>
                <w:b/>
              </w:rPr>
              <w:t>Číslo</w:t>
            </w:r>
          </w:p>
        </w:tc>
        <w:tc>
          <w:tcPr>
            <w:tcW w:w="7457" w:type="dxa"/>
            <w:vAlign w:val="center"/>
          </w:tcPr>
          <w:p w14:paraId="58CE5F57" w14:textId="1E13D797" w:rsidR="00FE1E96" w:rsidRPr="00577386" w:rsidRDefault="00FE1E96" w:rsidP="00FE1E96">
            <w:pPr>
              <w:rPr>
                <w:rFonts w:eastAsia="Times New Roman" w:cstheme="minorHAnsi"/>
              </w:rPr>
            </w:pPr>
            <w:r w:rsidRPr="00577386">
              <w:rPr>
                <w:b/>
              </w:rPr>
              <w:t>Požadavek</w:t>
            </w:r>
          </w:p>
        </w:tc>
        <w:tc>
          <w:tcPr>
            <w:tcW w:w="958" w:type="dxa"/>
            <w:vAlign w:val="center"/>
          </w:tcPr>
          <w:p w14:paraId="7A428342" w14:textId="77777777" w:rsidR="00FE1E96" w:rsidRPr="00577386" w:rsidRDefault="00FE1E96" w:rsidP="00FE1E96">
            <w:pPr>
              <w:jc w:val="center"/>
              <w:rPr>
                <w:b/>
              </w:rPr>
            </w:pPr>
            <w:r w:rsidRPr="00577386">
              <w:rPr>
                <w:b/>
              </w:rPr>
              <w:t>Splněno</w:t>
            </w:r>
          </w:p>
          <w:p w14:paraId="002C6088" w14:textId="64B27F26" w:rsidR="00FE1E96" w:rsidRPr="00577386" w:rsidRDefault="00FE1E96" w:rsidP="00FE1E96">
            <w:r w:rsidRPr="00577386">
              <w:rPr>
                <w:b/>
              </w:rPr>
              <w:t>Ano/Ne</w:t>
            </w:r>
          </w:p>
        </w:tc>
      </w:tr>
      <w:tr w:rsidR="00FE1E96" w:rsidRPr="00577386" w14:paraId="2FD6471B" w14:textId="77777777" w:rsidTr="00372AFD">
        <w:tc>
          <w:tcPr>
            <w:tcW w:w="647" w:type="dxa"/>
            <w:vAlign w:val="center"/>
          </w:tcPr>
          <w:p w14:paraId="51A6F7CF" w14:textId="00EE9398" w:rsidR="00FE1E96" w:rsidRPr="00577386" w:rsidRDefault="00FE1E96" w:rsidP="00FE1E96">
            <w:pPr>
              <w:jc w:val="center"/>
            </w:pPr>
            <w:r w:rsidRPr="00577386">
              <w:t>1</w:t>
            </w:r>
          </w:p>
        </w:tc>
        <w:tc>
          <w:tcPr>
            <w:tcW w:w="7457" w:type="dxa"/>
            <w:vAlign w:val="center"/>
          </w:tcPr>
          <w:p w14:paraId="0D7DA0A3" w14:textId="79B7D1CC" w:rsidR="00FE1E96" w:rsidRPr="00577386" w:rsidRDefault="00FE1E96" w:rsidP="00FE1E96">
            <w:r w:rsidRPr="00577386">
              <w:rPr>
                <w:rFonts w:eastAsia="Times New Roman" w:cstheme="minorHAnsi"/>
              </w:rPr>
              <w:t>IDS musí být uživatelsky vstřícný s přehledným grafickým rozhraním.</w:t>
            </w:r>
          </w:p>
        </w:tc>
        <w:tc>
          <w:tcPr>
            <w:tcW w:w="958" w:type="dxa"/>
            <w:vAlign w:val="center"/>
          </w:tcPr>
          <w:p w14:paraId="278837ED" w14:textId="77777777" w:rsidR="00FE1E96" w:rsidRPr="00577386" w:rsidRDefault="00FE1E96" w:rsidP="00FE1E96">
            <w:pPr>
              <w:jc w:val="center"/>
            </w:pPr>
          </w:p>
        </w:tc>
      </w:tr>
      <w:tr w:rsidR="00FE1E96" w:rsidRPr="00577386" w14:paraId="0B64C566" w14:textId="77777777" w:rsidTr="00372AFD">
        <w:tc>
          <w:tcPr>
            <w:tcW w:w="647" w:type="dxa"/>
            <w:vAlign w:val="center"/>
          </w:tcPr>
          <w:p w14:paraId="589340D0" w14:textId="5BA0E85D" w:rsidR="00FE1E96" w:rsidRPr="00577386" w:rsidRDefault="00FE1E96" w:rsidP="00FE1E96">
            <w:pPr>
              <w:jc w:val="center"/>
            </w:pPr>
            <w:r w:rsidRPr="00577386">
              <w:t>2</w:t>
            </w:r>
          </w:p>
        </w:tc>
        <w:tc>
          <w:tcPr>
            <w:tcW w:w="7457" w:type="dxa"/>
            <w:vAlign w:val="center"/>
          </w:tcPr>
          <w:p w14:paraId="105FA166" w14:textId="77777777" w:rsidR="00FE1E96" w:rsidRPr="00577386" w:rsidRDefault="00FE1E96" w:rsidP="00FE1E96">
            <w:pPr>
              <w:jc w:val="both"/>
              <w:rPr>
                <w:rFonts w:eastAsia="Times New Roman" w:cstheme="minorHAnsi"/>
              </w:rPr>
            </w:pPr>
            <w:r w:rsidRPr="00577386">
              <w:rPr>
                <w:rFonts w:eastAsia="Times New Roman" w:cstheme="minorHAnsi"/>
              </w:rPr>
              <w:t>Systém dálkových odečtů musí zajišťovat automatické průběžné odečítání v krátkých časových intervalech:</w:t>
            </w:r>
          </w:p>
          <w:p w14:paraId="3FBF8691" w14:textId="77777777" w:rsidR="00FE1E96" w:rsidRPr="00577386" w:rsidRDefault="00FE1E96" w:rsidP="00FE1E96">
            <w:pPr>
              <w:ind w:left="720"/>
              <w:jc w:val="both"/>
              <w:rPr>
                <w:rFonts w:eastAsia="Times New Roman" w:cstheme="minorHAnsi"/>
                <w:color w:val="000000" w:themeColor="text1"/>
              </w:rPr>
            </w:pPr>
            <w:r w:rsidRPr="00577386">
              <w:rPr>
                <w:rFonts w:eastAsia="Times New Roman" w:cstheme="minorHAnsi"/>
                <w:color w:val="000000" w:themeColor="text1"/>
              </w:rPr>
              <w:t>elektřina VN a NN – ¼ hodinový interval</w:t>
            </w:r>
          </w:p>
          <w:p w14:paraId="319A5194" w14:textId="77777777" w:rsidR="00FE1E96" w:rsidRPr="00577386" w:rsidRDefault="00FE1E96" w:rsidP="00FE1E96">
            <w:pPr>
              <w:ind w:left="720"/>
              <w:jc w:val="both"/>
              <w:rPr>
                <w:rFonts w:eastAsia="Times New Roman" w:cstheme="minorHAnsi"/>
                <w:color w:val="000000" w:themeColor="text1"/>
              </w:rPr>
            </w:pPr>
            <w:r w:rsidRPr="00577386">
              <w:rPr>
                <w:rFonts w:eastAsia="Times New Roman" w:cstheme="minorHAnsi"/>
                <w:color w:val="000000" w:themeColor="text1"/>
              </w:rPr>
              <w:t>voda – interval ¼ hodinový interval</w:t>
            </w:r>
          </w:p>
          <w:p w14:paraId="083859A2" w14:textId="0737C447" w:rsidR="00FE1E96" w:rsidRPr="00577386" w:rsidRDefault="00FE1E96" w:rsidP="00FE1E96">
            <w:pPr>
              <w:ind w:left="720"/>
              <w:jc w:val="both"/>
              <w:rPr>
                <w:rFonts w:eastAsia="Times New Roman" w:cstheme="minorHAnsi"/>
                <w:color w:val="000000" w:themeColor="text1"/>
              </w:rPr>
            </w:pPr>
            <w:r w:rsidRPr="00577386">
              <w:rPr>
                <w:rFonts w:eastAsia="Times New Roman" w:cstheme="minorHAnsi"/>
                <w:color w:val="000000" w:themeColor="text1"/>
              </w:rPr>
              <w:t>plyn VO a SO – interval 1 hodina</w:t>
            </w:r>
          </w:p>
          <w:p w14:paraId="242A5776" w14:textId="48AB6FAB" w:rsidR="00FE1E96" w:rsidRPr="00577386" w:rsidRDefault="007B48A3" w:rsidP="00FE1E96">
            <w:pPr>
              <w:ind w:firstLine="658"/>
            </w:pPr>
            <w:r w:rsidRPr="00577386">
              <w:rPr>
                <w:rFonts w:eastAsia="Times New Roman" w:cstheme="minorHAnsi"/>
                <w:color w:val="000000" w:themeColor="text1"/>
              </w:rPr>
              <w:t xml:space="preserve"> </w:t>
            </w:r>
            <w:r w:rsidR="00FE1E96" w:rsidRPr="00577386">
              <w:rPr>
                <w:rFonts w:eastAsia="Times New Roman" w:cstheme="minorHAnsi"/>
                <w:color w:val="000000" w:themeColor="text1"/>
              </w:rPr>
              <w:t>teplo – interval 1 hodina</w:t>
            </w:r>
          </w:p>
        </w:tc>
        <w:tc>
          <w:tcPr>
            <w:tcW w:w="958" w:type="dxa"/>
            <w:vAlign w:val="center"/>
          </w:tcPr>
          <w:p w14:paraId="076A12ED" w14:textId="77777777" w:rsidR="00FE1E96" w:rsidRPr="00577386" w:rsidRDefault="00FE1E96" w:rsidP="00FE1E96">
            <w:pPr>
              <w:jc w:val="center"/>
            </w:pPr>
          </w:p>
        </w:tc>
      </w:tr>
      <w:tr w:rsidR="00FE1E96" w:rsidRPr="00577386" w14:paraId="2CDC2EBF" w14:textId="77777777" w:rsidTr="00372AFD">
        <w:tc>
          <w:tcPr>
            <w:tcW w:w="647" w:type="dxa"/>
            <w:vAlign w:val="center"/>
          </w:tcPr>
          <w:p w14:paraId="0D63649B" w14:textId="30F7396A" w:rsidR="00FE1E96" w:rsidRPr="00577386" w:rsidRDefault="00FE1E96" w:rsidP="00FE1E96">
            <w:pPr>
              <w:jc w:val="center"/>
            </w:pPr>
            <w:r w:rsidRPr="00577386">
              <w:t>3</w:t>
            </w:r>
          </w:p>
        </w:tc>
        <w:tc>
          <w:tcPr>
            <w:tcW w:w="7457" w:type="dxa"/>
            <w:vAlign w:val="center"/>
          </w:tcPr>
          <w:p w14:paraId="39175232" w14:textId="1AF8A0FF" w:rsidR="00FE1E96" w:rsidRPr="00577386" w:rsidRDefault="00FE1E96" w:rsidP="00FE1E96">
            <w:pPr>
              <w:jc w:val="both"/>
              <w:rPr>
                <w:rFonts w:eastAsia="Times New Roman"/>
              </w:rPr>
            </w:pPr>
            <w:r w:rsidRPr="00577386">
              <w:rPr>
                <w:rFonts w:eastAsia="Times New Roman" w:cstheme="minorHAnsi"/>
              </w:rPr>
              <w:t>Systém musí ar</w:t>
            </w:r>
            <w:r w:rsidRPr="00577386">
              <w:rPr>
                <w:rFonts w:eastAsia="Times New Roman"/>
              </w:rPr>
              <w:t xml:space="preserve">chivovat a zálohovat data spotřeb energií v databázi – nejméně v aktuálním a minulém roce všechna data. Pro data starší stačí údaje za jednotlivé dny. </w:t>
            </w:r>
          </w:p>
        </w:tc>
        <w:tc>
          <w:tcPr>
            <w:tcW w:w="958" w:type="dxa"/>
            <w:vAlign w:val="center"/>
          </w:tcPr>
          <w:p w14:paraId="4EB9115E" w14:textId="77777777" w:rsidR="00FE1E96" w:rsidRPr="00577386" w:rsidRDefault="00FE1E96" w:rsidP="00FE1E96">
            <w:pPr>
              <w:jc w:val="center"/>
            </w:pPr>
          </w:p>
        </w:tc>
      </w:tr>
      <w:tr w:rsidR="00FE1E96" w:rsidRPr="00577386" w14:paraId="75F3B7EF" w14:textId="77777777" w:rsidTr="00372AFD">
        <w:tc>
          <w:tcPr>
            <w:tcW w:w="647" w:type="dxa"/>
            <w:vAlign w:val="center"/>
          </w:tcPr>
          <w:p w14:paraId="48B926B3" w14:textId="74E35F3F" w:rsidR="00FE1E96" w:rsidRPr="00577386" w:rsidRDefault="00FE1E96" w:rsidP="00FE1E96">
            <w:pPr>
              <w:jc w:val="center"/>
            </w:pPr>
            <w:r w:rsidRPr="00577386">
              <w:t>4</w:t>
            </w:r>
          </w:p>
        </w:tc>
        <w:tc>
          <w:tcPr>
            <w:tcW w:w="7457" w:type="dxa"/>
            <w:vAlign w:val="center"/>
          </w:tcPr>
          <w:p w14:paraId="020E880F" w14:textId="4198B8DC" w:rsidR="00FE1E96" w:rsidRPr="00577386" w:rsidRDefault="00FE1E96" w:rsidP="00FE1E96">
            <w:r w:rsidRPr="00577386">
              <w:rPr>
                <w:rFonts w:eastAsia="Times New Roman"/>
              </w:rPr>
              <w:t>V případě technických potíží dodavatele je povolená ztráta dat v cloudu max. 1 den v období jednoho roku.</w:t>
            </w:r>
          </w:p>
        </w:tc>
        <w:tc>
          <w:tcPr>
            <w:tcW w:w="958" w:type="dxa"/>
            <w:vAlign w:val="center"/>
          </w:tcPr>
          <w:p w14:paraId="02865190" w14:textId="77777777" w:rsidR="00FE1E96" w:rsidRPr="00577386" w:rsidRDefault="00FE1E96" w:rsidP="00FE1E96">
            <w:pPr>
              <w:jc w:val="center"/>
            </w:pPr>
          </w:p>
        </w:tc>
      </w:tr>
      <w:tr w:rsidR="00FE1E96" w:rsidRPr="00577386" w14:paraId="084EF085" w14:textId="77777777" w:rsidTr="00372AFD">
        <w:tc>
          <w:tcPr>
            <w:tcW w:w="647" w:type="dxa"/>
            <w:vAlign w:val="center"/>
          </w:tcPr>
          <w:p w14:paraId="64942261" w14:textId="51C9DC30" w:rsidR="00FE1E96" w:rsidRPr="00577386" w:rsidRDefault="00FE1E96" w:rsidP="00FE1E96">
            <w:pPr>
              <w:jc w:val="center"/>
            </w:pPr>
            <w:r w:rsidRPr="00577386">
              <w:t>5</w:t>
            </w:r>
          </w:p>
        </w:tc>
        <w:tc>
          <w:tcPr>
            <w:tcW w:w="7457" w:type="dxa"/>
            <w:vAlign w:val="center"/>
          </w:tcPr>
          <w:p w14:paraId="3CB8F37D" w14:textId="77777777" w:rsidR="00FE1E96" w:rsidRPr="00577386" w:rsidRDefault="00FE1E96" w:rsidP="00FE1E96">
            <w:pPr>
              <w:jc w:val="both"/>
              <w:rPr>
                <w:rFonts w:eastAsia="Times New Roman"/>
              </w:rPr>
            </w:pPr>
            <w:r w:rsidRPr="00577386">
              <w:rPr>
                <w:rFonts w:eastAsia="Times New Roman"/>
              </w:rPr>
              <w:t xml:space="preserve">Systém musí umožnit online vyhodnocování spotřeby médií za nastavitelné období ve formě odběrových grafů a tabulek s možností exportovat data ve formě editovatelných souborů (např. ve formátech </w:t>
            </w:r>
            <w:proofErr w:type="spellStart"/>
            <w:r w:rsidRPr="00577386">
              <w:rPr>
                <w:rFonts w:eastAsia="Times New Roman"/>
              </w:rPr>
              <w:t>xlsx</w:t>
            </w:r>
            <w:proofErr w:type="spellEnd"/>
            <w:r w:rsidRPr="00577386">
              <w:rPr>
                <w:rFonts w:eastAsia="Times New Roman"/>
              </w:rPr>
              <w:t>), to vše formou online přístupu k datům prostřednictvím běžných webových prohlížečů.</w:t>
            </w:r>
            <w:r w:rsidRPr="00577386">
              <w:rPr>
                <w:rFonts w:eastAsia="Times New Roman"/>
                <w:color w:val="000000" w:themeColor="text1"/>
              </w:rPr>
              <w:t xml:space="preserve"> </w:t>
            </w:r>
          </w:p>
          <w:p w14:paraId="21F7E012" w14:textId="1E61C746" w:rsidR="00FE1E96" w:rsidRPr="00577386" w:rsidRDefault="00FE1E96" w:rsidP="00FE1E96">
            <w:r w:rsidRPr="00577386">
              <w:rPr>
                <w:rFonts w:eastAsia="Times New Roman"/>
                <w:color w:val="000000" w:themeColor="text1"/>
              </w:rPr>
              <w:t>Tabulkové i grafické znázornění zaznamenaných dat musí být zobrazitelné ve volitelném časovém intervalu (od kdy - do kdy) a v nastavitelném časovém rozlišení (všechna data, hodina, den, měsíc, rok).</w:t>
            </w:r>
          </w:p>
        </w:tc>
        <w:tc>
          <w:tcPr>
            <w:tcW w:w="958" w:type="dxa"/>
            <w:vAlign w:val="center"/>
          </w:tcPr>
          <w:p w14:paraId="3D5BDD8B" w14:textId="77777777" w:rsidR="00FE1E96" w:rsidRPr="00577386" w:rsidRDefault="00FE1E96" w:rsidP="00FE1E96">
            <w:pPr>
              <w:jc w:val="center"/>
            </w:pPr>
          </w:p>
        </w:tc>
      </w:tr>
      <w:tr w:rsidR="00FE1E96" w:rsidRPr="00577386" w14:paraId="292E6955" w14:textId="77777777" w:rsidTr="00372AFD">
        <w:tc>
          <w:tcPr>
            <w:tcW w:w="647" w:type="dxa"/>
            <w:vAlign w:val="center"/>
          </w:tcPr>
          <w:p w14:paraId="78E34754" w14:textId="4810F148" w:rsidR="00FE1E96" w:rsidRPr="00577386" w:rsidRDefault="00FE1E96" w:rsidP="00FE1E96">
            <w:pPr>
              <w:jc w:val="center"/>
            </w:pPr>
            <w:r w:rsidRPr="00577386">
              <w:t>6</w:t>
            </w:r>
          </w:p>
        </w:tc>
        <w:tc>
          <w:tcPr>
            <w:tcW w:w="7457" w:type="dxa"/>
            <w:vAlign w:val="center"/>
          </w:tcPr>
          <w:p w14:paraId="42344F23" w14:textId="5313AB26" w:rsidR="00FE1E96" w:rsidRPr="00577386" w:rsidRDefault="005D6BC7" w:rsidP="00FE1E96">
            <w:r w:rsidRPr="00577386">
              <w:t>Systém bude obsahovat analytickou část energetického managementu, která bude provádět výpočty energetické náročnosti EnPI s pomocí klimatických dat a zadaných energeticky vztažných ploch.</w:t>
            </w:r>
          </w:p>
        </w:tc>
        <w:tc>
          <w:tcPr>
            <w:tcW w:w="958" w:type="dxa"/>
            <w:vAlign w:val="center"/>
          </w:tcPr>
          <w:p w14:paraId="6BCCC1A9" w14:textId="77777777" w:rsidR="00FE1E96" w:rsidRPr="00577386" w:rsidRDefault="00FE1E96" w:rsidP="00FE1E96">
            <w:pPr>
              <w:jc w:val="center"/>
            </w:pPr>
          </w:p>
        </w:tc>
      </w:tr>
      <w:tr w:rsidR="00FE1E96" w:rsidRPr="00577386" w14:paraId="72EBC2D5" w14:textId="77777777" w:rsidTr="00372AFD">
        <w:tc>
          <w:tcPr>
            <w:tcW w:w="647" w:type="dxa"/>
            <w:vAlign w:val="center"/>
          </w:tcPr>
          <w:p w14:paraId="29D88FF7" w14:textId="5FC9549B" w:rsidR="00FE1E96" w:rsidRPr="00577386" w:rsidRDefault="005D6BC7" w:rsidP="00FE1E96">
            <w:pPr>
              <w:jc w:val="center"/>
            </w:pPr>
            <w:r w:rsidRPr="00577386">
              <w:t>7</w:t>
            </w:r>
          </w:p>
        </w:tc>
        <w:tc>
          <w:tcPr>
            <w:tcW w:w="7457" w:type="dxa"/>
            <w:vAlign w:val="center"/>
          </w:tcPr>
          <w:p w14:paraId="7417B73E" w14:textId="603914B1" w:rsidR="00FE1E96" w:rsidRPr="00577386" w:rsidRDefault="005D6BC7" w:rsidP="00FE1E96">
            <w:r w:rsidRPr="00577386">
              <w:t>Systém bude vyhodnocovat meziroční spotřeby/úspory energií.</w:t>
            </w:r>
          </w:p>
        </w:tc>
        <w:tc>
          <w:tcPr>
            <w:tcW w:w="958" w:type="dxa"/>
            <w:vAlign w:val="center"/>
          </w:tcPr>
          <w:p w14:paraId="4CDDC56D" w14:textId="77777777" w:rsidR="00FE1E96" w:rsidRPr="00577386" w:rsidRDefault="00FE1E96" w:rsidP="00FE1E96">
            <w:pPr>
              <w:jc w:val="center"/>
            </w:pPr>
          </w:p>
        </w:tc>
      </w:tr>
      <w:tr w:rsidR="00FE1E96" w:rsidRPr="00577386" w14:paraId="226BA9F3" w14:textId="77777777" w:rsidTr="00372AFD">
        <w:tc>
          <w:tcPr>
            <w:tcW w:w="647" w:type="dxa"/>
            <w:vAlign w:val="center"/>
          </w:tcPr>
          <w:p w14:paraId="43E139B9" w14:textId="49BFAFC0" w:rsidR="00FE1E96" w:rsidRPr="00577386" w:rsidRDefault="005D6BC7" w:rsidP="00FE1E96">
            <w:pPr>
              <w:jc w:val="center"/>
            </w:pPr>
            <w:r w:rsidRPr="00577386">
              <w:t>8</w:t>
            </w:r>
          </w:p>
        </w:tc>
        <w:tc>
          <w:tcPr>
            <w:tcW w:w="7457" w:type="dxa"/>
            <w:vAlign w:val="center"/>
          </w:tcPr>
          <w:p w14:paraId="32705A1B" w14:textId="6392B669" w:rsidR="00FE1E96" w:rsidRPr="00577386" w:rsidRDefault="005D6BC7" w:rsidP="00FE1E96">
            <w:r w:rsidRPr="00577386">
              <w:rPr>
                <w:rFonts w:eastAsia="Times New Roman"/>
              </w:rPr>
              <w:t>Systém musí být rozšiřitelný o další organizace (nejméně 200) a umožní jejich kompletní uživatelskou správu (vytváření, úpravu, mazání), včetně organizací bez dálkových odečtů.</w:t>
            </w:r>
          </w:p>
        </w:tc>
        <w:tc>
          <w:tcPr>
            <w:tcW w:w="958" w:type="dxa"/>
            <w:vAlign w:val="center"/>
          </w:tcPr>
          <w:p w14:paraId="1B3D86DE" w14:textId="77777777" w:rsidR="00FE1E96" w:rsidRPr="00577386" w:rsidRDefault="00FE1E96" w:rsidP="00FE1E96">
            <w:pPr>
              <w:jc w:val="center"/>
            </w:pPr>
          </w:p>
        </w:tc>
      </w:tr>
      <w:tr w:rsidR="00FE1E96" w:rsidRPr="00577386" w14:paraId="0928211D" w14:textId="77777777" w:rsidTr="00372AFD">
        <w:tc>
          <w:tcPr>
            <w:tcW w:w="647" w:type="dxa"/>
            <w:vAlign w:val="center"/>
          </w:tcPr>
          <w:p w14:paraId="3018B6A5" w14:textId="59C632BD" w:rsidR="00FE1E96" w:rsidRPr="00577386" w:rsidRDefault="005D6BC7" w:rsidP="00FE1E96">
            <w:pPr>
              <w:jc w:val="center"/>
            </w:pPr>
            <w:r w:rsidRPr="00577386">
              <w:t>9</w:t>
            </w:r>
          </w:p>
        </w:tc>
        <w:tc>
          <w:tcPr>
            <w:tcW w:w="7457" w:type="dxa"/>
            <w:vAlign w:val="center"/>
          </w:tcPr>
          <w:p w14:paraId="3F2394DC" w14:textId="3E14568B" w:rsidR="00FE1E96" w:rsidRPr="00577386" w:rsidRDefault="005D6BC7" w:rsidP="00FE1E96">
            <w:r w:rsidRPr="00577386">
              <w:rPr>
                <w:rFonts w:eastAsia="Times New Roman"/>
              </w:rPr>
              <w:t>Systém musí umožnit u jednotlivých organizací jak automatický záznam hodnot dálkově sledovaných měřidel, tak manuální záznam hodnot dalších měřidel, která nebudou odečítána dálkově.</w:t>
            </w:r>
          </w:p>
        </w:tc>
        <w:tc>
          <w:tcPr>
            <w:tcW w:w="958" w:type="dxa"/>
            <w:vAlign w:val="center"/>
          </w:tcPr>
          <w:p w14:paraId="5312893F" w14:textId="77777777" w:rsidR="00FE1E96" w:rsidRPr="00577386" w:rsidRDefault="00FE1E96" w:rsidP="00FE1E96">
            <w:pPr>
              <w:jc w:val="center"/>
            </w:pPr>
          </w:p>
        </w:tc>
      </w:tr>
      <w:tr w:rsidR="00FE1E96" w:rsidRPr="00577386" w14:paraId="1291DD97" w14:textId="77777777" w:rsidTr="00372AFD">
        <w:tc>
          <w:tcPr>
            <w:tcW w:w="647" w:type="dxa"/>
            <w:vAlign w:val="center"/>
          </w:tcPr>
          <w:p w14:paraId="7E602927" w14:textId="23955C45" w:rsidR="00FE1E96" w:rsidRPr="00577386" w:rsidRDefault="005D6BC7" w:rsidP="00FE1E96">
            <w:pPr>
              <w:jc w:val="center"/>
            </w:pPr>
            <w:r w:rsidRPr="00577386">
              <w:t>10</w:t>
            </w:r>
          </w:p>
        </w:tc>
        <w:tc>
          <w:tcPr>
            <w:tcW w:w="7457" w:type="dxa"/>
            <w:vAlign w:val="center"/>
          </w:tcPr>
          <w:p w14:paraId="4A17BE92" w14:textId="188471CC" w:rsidR="00FE1E96" w:rsidRPr="00577386" w:rsidRDefault="005D6BC7" w:rsidP="00FE1E96">
            <w:r w:rsidRPr="00577386">
              <w:rPr>
                <w:rFonts w:eastAsia="Times New Roman"/>
              </w:rPr>
              <w:t>Systém musí být rozšiřitelný o další monitorovaná měřidla (nejméně 2 000)</w:t>
            </w:r>
          </w:p>
        </w:tc>
        <w:tc>
          <w:tcPr>
            <w:tcW w:w="958" w:type="dxa"/>
            <w:vAlign w:val="center"/>
          </w:tcPr>
          <w:p w14:paraId="0BF6B531" w14:textId="77777777" w:rsidR="00FE1E96" w:rsidRPr="00577386" w:rsidRDefault="00FE1E96" w:rsidP="00FE1E96">
            <w:pPr>
              <w:jc w:val="center"/>
            </w:pPr>
          </w:p>
        </w:tc>
      </w:tr>
      <w:tr w:rsidR="00100DB9" w:rsidRPr="00577386" w14:paraId="0FEFC47D" w14:textId="77777777" w:rsidTr="00372AFD">
        <w:tc>
          <w:tcPr>
            <w:tcW w:w="647" w:type="dxa"/>
            <w:vAlign w:val="center"/>
          </w:tcPr>
          <w:p w14:paraId="1BEB20EF" w14:textId="0214A42F" w:rsidR="00100DB9" w:rsidRPr="00577386" w:rsidRDefault="00100DB9" w:rsidP="00FE1E96">
            <w:pPr>
              <w:jc w:val="center"/>
            </w:pPr>
            <w:r w:rsidRPr="00577386">
              <w:t>11</w:t>
            </w:r>
          </w:p>
        </w:tc>
        <w:tc>
          <w:tcPr>
            <w:tcW w:w="7457" w:type="dxa"/>
            <w:vAlign w:val="center"/>
          </w:tcPr>
          <w:p w14:paraId="265B4259" w14:textId="05BEC192" w:rsidR="00100DB9" w:rsidRPr="00577386" w:rsidRDefault="00100DB9" w:rsidP="00FE1E96">
            <w:pPr>
              <w:rPr>
                <w:rFonts w:eastAsia="Times New Roman"/>
              </w:rPr>
            </w:pPr>
            <w:r w:rsidRPr="00577386">
              <w:rPr>
                <w:rFonts w:eastAsia="Times New Roman"/>
              </w:rPr>
              <w:t>Systém musí umožnit pracovat s hodnotami určitého druhu energie i jako součtové či rozdílové hodnoty několika měřidel dané energie.</w:t>
            </w:r>
          </w:p>
        </w:tc>
        <w:tc>
          <w:tcPr>
            <w:tcW w:w="958" w:type="dxa"/>
            <w:vAlign w:val="center"/>
          </w:tcPr>
          <w:p w14:paraId="160D1BCA" w14:textId="77777777" w:rsidR="00100DB9" w:rsidRPr="00577386" w:rsidRDefault="00100DB9" w:rsidP="00FE1E96">
            <w:pPr>
              <w:jc w:val="center"/>
            </w:pPr>
          </w:p>
        </w:tc>
      </w:tr>
      <w:tr w:rsidR="00100DB9" w:rsidRPr="00577386" w14:paraId="7C16C490" w14:textId="77777777" w:rsidTr="00372AFD">
        <w:tc>
          <w:tcPr>
            <w:tcW w:w="647" w:type="dxa"/>
            <w:vAlign w:val="center"/>
          </w:tcPr>
          <w:p w14:paraId="7BBA21B3" w14:textId="6CEB3DA4" w:rsidR="00100DB9" w:rsidRPr="00577386" w:rsidRDefault="00100DB9" w:rsidP="00FE1E96">
            <w:pPr>
              <w:jc w:val="center"/>
            </w:pPr>
            <w:r w:rsidRPr="00577386">
              <w:t>12</w:t>
            </w:r>
          </w:p>
        </w:tc>
        <w:tc>
          <w:tcPr>
            <w:tcW w:w="7457" w:type="dxa"/>
            <w:vAlign w:val="center"/>
          </w:tcPr>
          <w:p w14:paraId="2EABC90A" w14:textId="12DA165D" w:rsidR="00100DB9" w:rsidRPr="00577386" w:rsidRDefault="005B4E5E" w:rsidP="00FE1E96">
            <w:pPr>
              <w:rPr>
                <w:rFonts w:eastAsia="Times New Roman"/>
              </w:rPr>
            </w:pPr>
            <w:r w:rsidRPr="00577386">
              <w:rPr>
                <w:rFonts w:eastAsia="Times New Roman"/>
              </w:rPr>
              <w:t>Systém musí být rozšířitelný o monitorování dalších stavů objektu (např. teploměrů, vlhkoměrů, čidel CO</w:t>
            </w:r>
            <w:r w:rsidRPr="00577386">
              <w:rPr>
                <w:rFonts w:eastAsia="Times New Roman"/>
                <w:vertAlign w:val="subscript"/>
              </w:rPr>
              <w:t>2</w:t>
            </w:r>
            <w:r w:rsidRPr="00577386">
              <w:rPr>
                <w:rFonts w:eastAsia="Times New Roman"/>
              </w:rPr>
              <w:t xml:space="preserve"> ...)</w:t>
            </w:r>
          </w:p>
        </w:tc>
        <w:tc>
          <w:tcPr>
            <w:tcW w:w="958" w:type="dxa"/>
            <w:vAlign w:val="center"/>
          </w:tcPr>
          <w:p w14:paraId="0F4C4599" w14:textId="77777777" w:rsidR="00100DB9" w:rsidRPr="00577386" w:rsidRDefault="00100DB9" w:rsidP="00FE1E96">
            <w:pPr>
              <w:jc w:val="center"/>
            </w:pPr>
          </w:p>
        </w:tc>
      </w:tr>
      <w:tr w:rsidR="00100DB9" w:rsidRPr="00577386" w14:paraId="2BC5848D" w14:textId="77777777" w:rsidTr="00372AFD">
        <w:tc>
          <w:tcPr>
            <w:tcW w:w="647" w:type="dxa"/>
            <w:vAlign w:val="center"/>
          </w:tcPr>
          <w:p w14:paraId="1555EBFB" w14:textId="17A8C0FB" w:rsidR="00100DB9" w:rsidRPr="00577386" w:rsidRDefault="00100DB9" w:rsidP="00FE1E96">
            <w:pPr>
              <w:jc w:val="center"/>
            </w:pPr>
            <w:r w:rsidRPr="00577386">
              <w:t>13</w:t>
            </w:r>
          </w:p>
        </w:tc>
        <w:tc>
          <w:tcPr>
            <w:tcW w:w="7457" w:type="dxa"/>
            <w:vAlign w:val="center"/>
          </w:tcPr>
          <w:p w14:paraId="1C4AAEFD" w14:textId="2AC4971A" w:rsidR="00100DB9" w:rsidRPr="00577386" w:rsidRDefault="005B4E5E" w:rsidP="00FE1E96">
            <w:pPr>
              <w:rPr>
                <w:rFonts w:eastAsia="Times New Roman"/>
              </w:rPr>
            </w:pPr>
            <w:r w:rsidRPr="00577386">
              <w:t>Systém by měl být připraven na možné legislativní požadavky v hospodaření s energií – evidence a vyhodnocování spotřeb pohonných hmot.</w:t>
            </w:r>
          </w:p>
        </w:tc>
        <w:tc>
          <w:tcPr>
            <w:tcW w:w="958" w:type="dxa"/>
            <w:vAlign w:val="center"/>
          </w:tcPr>
          <w:p w14:paraId="7827D93A" w14:textId="77777777" w:rsidR="00100DB9" w:rsidRPr="00577386" w:rsidRDefault="00100DB9" w:rsidP="00FE1E96">
            <w:pPr>
              <w:jc w:val="center"/>
            </w:pPr>
          </w:p>
        </w:tc>
      </w:tr>
      <w:tr w:rsidR="00100DB9" w:rsidRPr="00577386" w14:paraId="002B4212" w14:textId="77777777" w:rsidTr="00372AFD">
        <w:tc>
          <w:tcPr>
            <w:tcW w:w="647" w:type="dxa"/>
            <w:vAlign w:val="center"/>
          </w:tcPr>
          <w:p w14:paraId="38E9BE5C" w14:textId="40002617" w:rsidR="00100DB9" w:rsidRPr="00577386" w:rsidRDefault="00100DB9" w:rsidP="00FE1E96">
            <w:pPr>
              <w:jc w:val="center"/>
            </w:pPr>
            <w:r w:rsidRPr="00577386">
              <w:t>14</w:t>
            </w:r>
          </w:p>
        </w:tc>
        <w:tc>
          <w:tcPr>
            <w:tcW w:w="7457" w:type="dxa"/>
            <w:vAlign w:val="center"/>
          </w:tcPr>
          <w:p w14:paraId="7A38A8F5" w14:textId="0B5E2C8B" w:rsidR="00100DB9" w:rsidRPr="00577386" w:rsidRDefault="005B4E5E" w:rsidP="00FE1E96">
            <w:pPr>
              <w:rPr>
                <w:rFonts w:eastAsia="Times New Roman"/>
              </w:rPr>
            </w:pPr>
            <w:r w:rsidRPr="00577386">
              <w:rPr>
                <w:rFonts w:eastAsia="Times New Roman"/>
              </w:rPr>
              <w:t>Systém musí umožňovat i snadný manuální zápis a opravy dat spotřeb energií pro určené role.</w:t>
            </w:r>
          </w:p>
        </w:tc>
        <w:tc>
          <w:tcPr>
            <w:tcW w:w="958" w:type="dxa"/>
            <w:vAlign w:val="center"/>
          </w:tcPr>
          <w:p w14:paraId="6AB6C187" w14:textId="77777777" w:rsidR="00100DB9" w:rsidRPr="00577386" w:rsidRDefault="00100DB9" w:rsidP="00FE1E96">
            <w:pPr>
              <w:jc w:val="center"/>
            </w:pPr>
          </w:p>
        </w:tc>
      </w:tr>
      <w:tr w:rsidR="00100DB9" w:rsidRPr="00577386" w14:paraId="6113F34E" w14:textId="77777777" w:rsidTr="00372AFD">
        <w:tc>
          <w:tcPr>
            <w:tcW w:w="647" w:type="dxa"/>
            <w:vAlign w:val="center"/>
          </w:tcPr>
          <w:p w14:paraId="1BC6DD1D" w14:textId="60C21014" w:rsidR="00100DB9" w:rsidRPr="00577386" w:rsidRDefault="00100DB9" w:rsidP="00FE1E96">
            <w:pPr>
              <w:jc w:val="center"/>
            </w:pPr>
            <w:r w:rsidRPr="00577386">
              <w:t>15</w:t>
            </w:r>
          </w:p>
        </w:tc>
        <w:tc>
          <w:tcPr>
            <w:tcW w:w="7457" w:type="dxa"/>
            <w:vAlign w:val="center"/>
          </w:tcPr>
          <w:p w14:paraId="38D765D7" w14:textId="77777777" w:rsidR="005B4E5E" w:rsidRPr="00577386" w:rsidRDefault="005B4E5E" w:rsidP="005B4E5E">
            <w:pPr>
              <w:jc w:val="both"/>
              <w:rPr>
                <w:rFonts w:eastAsia="Times New Roman"/>
              </w:rPr>
            </w:pPr>
            <w:r w:rsidRPr="00577386">
              <w:rPr>
                <w:rFonts w:eastAsia="Times New Roman"/>
              </w:rPr>
              <w:t xml:space="preserve">Systém musí umožňovat zápis spotřeb z faktur jednotlivých dodavatelů energií </w:t>
            </w:r>
          </w:p>
          <w:p w14:paraId="371D5F8F" w14:textId="2C91D1EA" w:rsidR="00100DB9" w:rsidRPr="00577386" w:rsidRDefault="005B4E5E" w:rsidP="005B4E5E">
            <w:pPr>
              <w:rPr>
                <w:rFonts w:eastAsia="Times New Roman"/>
              </w:rPr>
            </w:pPr>
            <w:r w:rsidRPr="00577386">
              <w:rPr>
                <w:rFonts w:eastAsia="Times New Roman"/>
              </w:rPr>
              <w:t>(nemonitorovaná měřidla v pronajatých objektech).</w:t>
            </w:r>
          </w:p>
        </w:tc>
        <w:tc>
          <w:tcPr>
            <w:tcW w:w="958" w:type="dxa"/>
            <w:vAlign w:val="center"/>
          </w:tcPr>
          <w:p w14:paraId="7CE7BB93" w14:textId="77777777" w:rsidR="00100DB9" w:rsidRPr="00577386" w:rsidRDefault="00100DB9" w:rsidP="00FE1E96">
            <w:pPr>
              <w:jc w:val="center"/>
            </w:pPr>
          </w:p>
        </w:tc>
      </w:tr>
      <w:tr w:rsidR="00100DB9" w:rsidRPr="00577386" w14:paraId="2E93249B" w14:textId="77777777" w:rsidTr="00372AFD">
        <w:tc>
          <w:tcPr>
            <w:tcW w:w="647" w:type="dxa"/>
            <w:vAlign w:val="center"/>
          </w:tcPr>
          <w:p w14:paraId="72604C34" w14:textId="0FEFB34C" w:rsidR="00100DB9" w:rsidRPr="00577386" w:rsidRDefault="00100DB9" w:rsidP="00FE1E96">
            <w:pPr>
              <w:jc w:val="center"/>
            </w:pPr>
            <w:r w:rsidRPr="00577386">
              <w:t>16</w:t>
            </w:r>
          </w:p>
        </w:tc>
        <w:tc>
          <w:tcPr>
            <w:tcW w:w="7457" w:type="dxa"/>
            <w:vAlign w:val="center"/>
          </w:tcPr>
          <w:p w14:paraId="73586DFC" w14:textId="37C274FA" w:rsidR="00100DB9" w:rsidRPr="00577386" w:rsidRDefault="005B4E5E" w:rsidP="00FE1E96">
            <w:pPr>
              <w:rPr>
                <w:rFonts w:eastAsia="Times New Roman"/>
              </w:rPr>
            </w:pPr>
            <w:r w:rsidRPr="00577386">
              <w:rPr>
                <w:rFonts w:eastAsia="Times New Roman"/>
              </w:rPr>
              <w:t>Systém musí evidovat další data o jednotlivých organizacích (adresy, IČ, kontaktní osoby, energeticky vztažné plochy, popis jednotlivých odběrných míst, dodavatelé energií,…)</w:t>
            </w:r>
          </w:p>
        </w:tc>
        <w:tc>
          <w:tcPr>
            <w:tcW w:w="958" w:type="dxa"/>
            <w:vAlign w:val="center"/>
          </w:tcPr>
          <w:p w14:paraId="22804992" w14:textId="77777777" w:rsidR="00100DB9" w:rsidRPr="00577386" w:rsidRDefault="00100DB9" w:rsidP="00FE1E96">
            <w:pPr>
              <w:jc w:val="center"/>
            </w:pPr>
          </w:p>
        </w:tc>
      </w:tr>
      <w:tr w:rsidR="00100DB9" w:rsidRPr="00577386" w14:paraId="5BF6B998" w14:textId="77777777" w:rsidTr="00372AFD">
        <w:tc>
          <w:tcPr>
            <w:tcW w:w="647" w:type="dxa"/>
            <w:vAlign w:val="center"/>
          </w:tcPr>
          <w:p w14:paraId="7D2CC212" w14:textId="79BE30E4" w:rsidR="00100DB9" w:rsidRPr="00577386" w:rsidRDefault="00100DB9" w:rsidP="00FE1E96">
            <w:pPr>
              <w:jc w:val="center"/>
            </w:pPr>
            <w:r w:rsidRPr="00577386">
              <w:t>17</w:t>
            </w:r>
          </w:p>
        </w:tc>
        <w:tc>
          <w:tcPr>
            <w:tcW w:w="7457" w:type="dxa"/>
            <w:vAlign w:val="center"/>
          </w:tcPr>
          <w:p w14:paraId="391E325D" w14:textId="09694E1B" w:rsidR="00100DB9" w:rsidRPr="00577386" w:rsidRDefault="005B4E5E" w:rsidP="00FE1E96">
            <w:pPr>
              <w:rPr>
                <w:rFonts w:eastAsia="Times New Roman"/>
              </w:rPr>
            </w:pPr>
            <w:r w:rsidRPr="00577386">
              <w:rPr>
                <w:rFonts w:eastAsia="Calibri" w:cstheme="minorHAnsi"/>
              </w:rPr>
              <w:t>Systém musí umožňovat efektivní správu a kontrolu odečítacích modulů, automaticky vyhodnocovat jejich nefunkčnost.</w:t>
            </w:r>
          </w:p>
        </w:tc>
        <w:tc>
          <w:tcPr>
            <w:tcW w:w="958" w:type="dxa"/>
            <w:vAlign w:val="center"/>
          </w:tcPr>
          <w:p w14:paraId="567EDD25" w14:textId="77777777" w:rsidR="00100DB9" w:rsidRPr="00577386" w:rsidRDefault="00100DB9" w:rsidP="00FE1E96">
            <w:pPr>
              <w:jc w:val="center"/>
            </w:pPr>
          </w:p>
        </w:tc>
      </w:tr>
      <w:tr w:rsidR="005B4E5E" w:rsidRPr="00577386" w14:paraId="23E6BFD9" w14:textId="77777777" w:rsidTr="00372AFD">
        <w:tc>
          <w:tcPr>
            <w:tcW w:w="647" w:type="dxa"/>
            <w:vAlign w:val="center"/>
          </w:tcPr>
          <w:p w14:paraId="4EDF0D9F" w14:textId="19537D0F" w:rsidR="005B4E5E" w:rsidRPr="00577386" w:rsidRDefault="005B4E5E" w:rsidP="00FE1E96">
            <w:pPr>
              <w:jc w:val="center"/>
            </w:pPr>
            <w:r w:rsidRPr="00577386">
              <w:t>18</w:t>
            </w:r>
          </w:p>
        </w:tc>
        <w:tc>
          <w:tcPr>
            <w:tcW w:w="7457" w:type="dxa"/>
            <w:vAlign w:val="center"/>
          </w:tcPr>
          <w:p w14:paraId="5E1A5FB5" w14:textId="3D1323DF" w:rsidR="005B4E5E" w:rsidRPr="00577386" w:rsidRDefault="005B4E5E" w:rsidP="00FE1E96">
            <w:pPr>
              <w:rPr>
                <w:rFonts w:eastAsia="Calibri" w:cstheme="minorHAnsi"/>
              </w:rPr>
            </w:pPr>
            <w:r w:rsidRPr="00577386">
              <w:rPr>
                <w:rFonts w:eastAsia="Times New Roman" w:cstheme="minorHAnsi"/>
              </w:rPr>
              <w:t>Dodaná komunikační zařízení musí být v provedení vhodném do příslušného prostředí. V případě potřeby musí umožňovat bateriový provoz (bez napájení externím zdrojem elektrické energie).</w:t>
            </w:r>
          </w:p>
        </w:tc>
        <w:tc>
          <w:tcPr>
            <w:tcW w:w="958" w:type="dxa"/>
            <w:vAlign w:val="center"/>
          </w:tcPr>
          <w:p w14:paraId="34D67F84" w14:textId="77777777" w:rsidR="005B4E5E" w:rsidRPr="00577386" w:rsidRDefault="005B4E5E" w:rsidP="00FE1E96">
            <w:pPr>
              <w:jc w:val="center"/>
            </w:pPr>
          </w:p>
        </w:tc>
      </w:tr>
      <w:tr w:rsidR="005B4E5E" w:rsidRPr="00577386" w14:paraId="110E6223" w14:textId="77777777" w:rsidTr="00372AFD">
        <w:tc>
          <w:tcPr>
            <w:tcW w:w="647" w:type="dxa"/>
            <w:vAlign w:val="center"/>
          </w:tcPr>
          <w:p w14:paraId="1A511F14" w14:textId="32F1642B" w:rsidR="005B4E5E" w:rsidRPr="00577386" w:rsidRDefault="005B4E5E" w:rsidP="00FE1E96">
            <w:pPr>
              <w:jc w:val="center"/>
            </w:pPr>
            <w:r w:rsidRPr="00577386">
              <w:lastRenderedPageBreak/>
              <w:t>19</w:t>
            </w:r>
          </w:p>
        </w:tc>
        <w:tc>
          <w:tcPr>
            <w:tcW w:w="7457" w:type="dxa"/>
            <w:vAlign w:val="center"/>
          </w:tcPr>
          <w:p w14:paraId="3521F91D" w14:textId="2E1830A2" w:rsidR="005B4E5E" w:rsidRPr="00577386" w:rsidRDefault="005B4E5E" w:rsidP="00FE1E96">
            <w:pPr>
              <w:rPr>
                <w:rFonts w:eastAsia="Calibri" w:cstheme="minorHAnsi"/>
              </w:rPr>
            </w:pPr>
            <w:r w:rsidRPr="00577386">
              <w:rPr>
                <w:rFonts w:eastAsia="Times New Roman"/>
              </w:rPr>
              <w:t>V systému online monitoringu vodoměrů musí být odečtené hodnoty z měřidel ihned k dispozici. Systém musí umožňovat neprodlené automatické odesílání zpráv (upozornění – alarmů) o překročení (dosažení) nastavených limitních hodnot odběru a o vzniku havarijních stavů – úniků, to vše formou e-mailů a SMS. Pro každý vodoměr musí být umožněno nastavit limitní hodnoty spotřeby v čase (hodiny, dny v týdnu).</w:t>
            </w:r>
          </w:p>
        </w:tc>
        <w:tc>
          <w:tcPr>
            <w:tcW w:w="958" w:type="dxa"/>
            <w:vAlign w:val="center"/>
          </w:tcPr>
          <w:p w14:paraId="735EA5DF" w14:textId="77777777" w:rsidR="005B4E5E" w:rsidRPr="00577386" w:rsidRDefault="005B4E5E" w:rsidP="00FE1E96">
            <w:pPr>
              <w:jc w:val="center"/>
            </w:pPr>
          </w:p>
        </w:tc>
      </w:tr>
      <w:tr w:rsidR="005B4E5E" w:rsidRPr="00577386" w14:paraId="465442E4" w14:textId="77777777" w:rsidTr="00372AFD">
        <w:tc>
          <w:tcPr>
            <w:tcW w:w="647" w:type="dxa"/>
            <w:vAlign w:val="center"/>
          </w:tcPr>
          <w:p w14:paraId="30C88EE6" w14:textId="719C968A" w:rsidR="005B4E5E" w:rsidRPr="00577386" w:rsidRDefault="005B4E5E" w:rsidP="00FE1E96">
            <w:pPr>
              <w:jc w:val="center"/>
            </w:pPr>
            <w:r w:rsidRPr="00577386">
              <w:t>20</w:t>
            </w:r>
          </w:p>
        </w:tc>
        <w:tc>
          <w:tcPr>
            <w:tcW w:w="7457" w:type="dxa"/>
            <w:vAlign w:val="center"/>
          </w:tcPr>
          <w:p w14:paraId="191EE00E" w14:textId="5B0067AB" w:rsidR="005B4E5E" w:rsidRPr="00577386" w:rsidRDefault="005B4E5E" w:rsidP="00FE1E96">
            <w:pPr>
              <w:rPr>
                <w:rFonts w:eastAsia="Calibri" w:cstheme="minorHAnsi"/>
              </w:rPr>
            </w:pPr>
            <w:r w:rsidRPr="00577386">
              <w:rPr>
                <w:rFonts w:eastAsia="Times New Roman"/>
              </w:rPr>
              <w:t>V případě, kdy dodavatel vody není schopen či ochoten poskytnout okamžitá data spotřeby vody v nejméně ¼ hodinovém intervalu, dodavatel nainstaluje do série za fakturační vodoměr (v majetku vodárenské společnosti) další vodoměr (v majetku KHK), který bude dálkově odečítat do systému. Dodavatel nebude instalovat žádné prvky na fakturační vodoměr. Tento postup se předpokládá v naprosté většině případů instalace odečtů vodoměrů.</w:t>
            </w:r>
          </w:p>
        </w:tc>
        <w:tc>
          <w:tcPr>
            <w:tcW w:w="958" w:type="dxa"/>
            <w:vAlign w:val="center"/>
          </w:tcPr>
          <w:p w14:paraId="50862C09" w14:textId="77777777" w:rsidR="005B4E5E" w:rsidRPr="00577386" w:rsidRDefault="005B4E5E" w:rsidP="00FE1E96">
            <w:pPr>
              <w:jc w:val="center"/>
            </w:pPr>
          </w:p>
        </w:tc>
      </w:tr>
    </w:tbl>
    <w:p w14:paraId="31B8CB14" w14:textId="1F4832EE" w:rsidR="005B4E5E" w:rsidRPr="00577386" w:rsidRDefault="005B4E5E"/>
    <w:p w14:paraId="2FD6A59C" w14:textId="2A0CF057" w:rsidR="005B4E5E" w:rsidRPr="00577386" w:rsidRDefault="00FB3638">
      <w:pPr>
        <w:rPr>
          <w:b/>
        </w:rPr>
      </w:pPr>
      <w:r w:rsidRPr="00577386">
        <w:rPr>
          <w:b/>
        </w:rPr>
        <w:t>Požadavky zadavatele na m</w:t>
      </w:r>
      <w:r w:rsidR="006C35F7" w:rsidRPr="00577386">
        <w:rPr>
          <w:b/>
        </w:rPr>
        <w:t>odul E-</w:t>
      </w:r>
      <w:proofErr w:type="spellStart"/>
      <w:r w:rsidR="006C35F7" w:rsidRPr="00577386">
        <w:rPr>
          <w:b/>
        </w:rPr>
        <w:t>learnig</w:t>
      </w:r>
      <w:proofErr w:type="spellEnd"/>
      <w:r w:rsidR="006C35F7" w:rsidRPr="00577386">
        <w:rPr>
          <w:b/>
        </w:rPr>
        <w:t xml:space="preserve"> a modul Kalendář revizí</w:t>
      </w:r>
      <w:r w:rsidRPr="00577386">
        <w:rPr>
          <w:b/>
        </w:rPr>
        <w:t>:</w:t>
      </w:r>
    </w:p>
    <w:tbl>
      <w:tblPr>
        <w:tblStyle w:val="Mkatabulky"/>
        <w:tblW w:w="0" w:type="auto"/>
        <w:tblLook w:val="04A0" w:firstRow="1" w:lastRow="0" w:firstColumn="1" w:lastColumn="0" w:noHBand="0" w:noVBand="1"/>
      </w:tblPr>
      <w:tblGrid>
        <w:gridCol w:w="647"/>
        <w:gridCol w:w="7457"/>
        <w:gridCol w:w="958"/>
      </w:tblGrid>
      <w:tr w:rsidR="006C35F7" w:rsidRPr="00577386" w14:paraId="0D0407AD" w14:textId="77777777" w:rsidTr="00372AFD">
        <w:tc>
          <w:tcPr>
            <w:tcW w:w="647" w:type="dxa"/>
            <w:vAlign w:val="center"/>
          </w:tcPr>
          <w:p w14:paraId="453532CF" w14:textId="3DE77C4B" w:rsidR="006C35F7" w:rsidRPr="00577386" w:rsidRDefault="006C35F7" w:rsidP="006C35F7">
            <w:pPr>
              <w:jc w:val="center"/>
            </w:pPr>
            <w:r w:rsidRPr="00577386">
              <w:rPr>
                <w:b/>
              </w:rPr>
              <w:t>Číslo</w:t>
            </w:r>
          </w:p>
        </w:tc>
        <w:tc>
          <w:tcPr>
            <w:tcW w:w="7457" w:type="dxa"/>
            <w:vAlign w:val="center"/>
          </w:tcPr>
          <w:p w14:paraId="24EB1986" w14:textId="74980F4D" w:rsidR="006C35F7" w:rsidRPr="00577386" w:rsidRDefault="006C35F7" w:rsidP="006C35F7">
            <w:pPr>
              <w:jc w:val="both"/>
              <w:rPr>
                <w:rFonts w:eastAsia="Times New Roman"/>
              </w:rPr>
            </w:pPr>
            <w:r w:rsidRPr="00577386">
              <w:rPr>
                <w:b/>
              </w:rPr>
              <w:t>Požadavek</w:t>
            </w:r>
          </w:p>
        </w:tc>
        <w:tc>
          <w:tcPr>
            <w:tcW w:w="958" w:type="dxa"/>
            <w:vAlign w:val="center"/>
          </w:tcPr>
          <w:p w14:paraId="088FF6CF" w14:textId="77777777" w:rsidR="006C35F7" w:rsidRPr="00577386" w:rsidRDefault="006C35F7" w:rsidP="006C35F7">
            <w:pPr>
              <w:jc w:val="center"/>
              <w:rPr>
                <w:b/>
              </w:rPr>
            </w:pPr>
            <w:r w:rsidRPr="00577386">
              <w:rPr>
                <w:b/>
              </w:rPr>
              <w:t>Splněno</w:t>
            </w:r>
          </w:p>
          <w:p w14:paraId="6A3EF9DA" w14:textId="15FC242A" w:rsidR="006C35F7" w:rsidRPr="00577386" w:rsidRDefault="006C35F7" w:rsidP="006C35F7">
            <w:pPr>
              <w:jc w:val="center"/>
            </w:pPr>
            <w:r w:rsidRPr="00577386">
              <w:rPr>
                <w:b/>
              </w:rPr>
              <w:t>Ano/Ne</w:t>
            </w:r>
          </w:p>
        </w:tc>
      </w:tr>
      <w:tr w:rsidR="006C35F7" w:rsidRPr="00577386" w14:paraId="7565816E" w14:textId="77777777" w:rsidTr="00372AFD">
        <w:tc>
          <w:tcPr>
            <w:tcW w:w="647" w:type="dxa"/>
            <w:vAlign w:val="center"/>
          </w:tcPr>
          <w:p w14:paraId="69C8F4B3" w14:textId="3AF2F27A" w:rsidR="006C35F7" w:rsidRPr="00577386" w:rsidRDefault="006C35F7" w:rsidP="006C35F7">
            <w:pPr>
              <w:jc w:val="center"/>
            </w:pPr>
            <w:r w:rsidRPr="00577386">
              <w:t>1</w:t>
            </w:r>
          </w:p>
        </w:tc>
        <w:tc>
          <w:tcPr>
            <w:tcW w:w="7457" w:type="dxa"/>
            <w:vAlign w:val="center"/>
          </w:tcPr>
          <w:p w14:paraId="791E4400" w14:textId="77777777" w:rsidR="006C35F7" w:rsidRPr="00577386" w:rsidRDefault="006C35F7" w:rsidP="006C35F7">
            <w:pPr>
              <w:jc w:val="both"/>
              <w:rPr>
                <w:rFonts w:eastAsia="Times New Roman"/>
              </w:rPr>
            </w:pPr>
            <w:r w:rsidRPr="00577386">
              <w:rPr>
                <w:rFonts w:eastAsia="Times New Roman"/>
              </w:rPr>
              <w:t xml:space="preserve">Součástí aplikace bude </w:t>
            </w:r>
            <w:r w:rsidRPr="00577386">
              <w:rPr>
                <w:rFonts w:eastAsia="Times New Roman"/>
                <w:b/>
              </w:rPr>
              <w:t>modul e-</w:t>
            </w:r>
            <w:proofErr w:type="spellStart"/>
            <w:r w:rsidRPr="00577386">
              <w:rPr>
                <w:rFonts w:eastAsia="Times New Roman"/>
                <w:b/>
              </w:rPr>
              <w:t>learningu</w:t>
            </w:r>
            <w:proofErr w:type="spellEnd"/>
            <w:r w:rsidRPr="00577386">
              <w:rPr>
                <w:rFonts w:eastAsia="Times New Roman"/>
              </w:rPr>
              <w:t xml:space="preserve"> a jeho redakční systém.</w:t>
            </w:r>
          </w:p>
          <w:p w14:paraId="1923AD89" w14:textId="77777777" w:rsidR="006C35F7" w:rsidRPr="00577386" w:rsidRDefault="006C35F7" w:rsidP="006C35F7">
            <w:pPr>
              <w:jc w:val="both"/>
              <w:rPr>
                <w:rFonts w:eastAsia="Times New Roman"/>
              </w:rPr>
            </w:pPr>
            <w:r w:rsidRPr="00577386">
              <w:rPr>
                <w:rFonts w:eastAsia="Times New Roman"/>
              </w:rPr>
              <w:t>E-learning bude obsahovat edukační část a testovou část:</w:t>
            </w:r>
          </w:p>
          <w:p w14:paraId="08C52C3A" w14:textId="77777777" w:rsidR="006C35F7" w:rsidRPr="00577386" w:rsidRDefault="006C35F7" w:rsidP="006C35F7">
            <w:pPr>
              <w:ind w:left="720" w:hanging="11"/>
              <w:jc w:val="both"/>
              <w:rPr>
                <w:rFonts w:eastAsia="Times New Roman"/>
              </w:rPr>
            </w:pPr>
          </w:p>
          <w:p w14:paraId="0F3E5D2D" w14:textId="77777777" w:rsidR="006C35F7" w:rsidRPr="00577386" w:rsidRDefault="006C35F7" w:rsidP="006C35F7">
            <w:pPr>
              <w:jc w:val="both"/>
              <w:rPr>
                <w:rFonts w:eastAsia="Times New Roman"/>
              </w:rPr>
            </w:pPr>
            <w:r w:rsidRPr="00577386">
              <w:rPr>
                <w:rFonts w:eastAsia="Times New Roman"/>
                <w:i/>
                <w:iCs/>
              </w:rPr>
              <w:t>Do edukační části</w:t>
            </w:r>
            <w:r w:rsidRPr="00577386">
              <w:rPr>
                <w:rFonts w:eastAsia="Times New Roman"/>
              </w:rPr>
              <w:t xml:space="preserve"> bude zadavatel vkládat dokumenty ve formátu </w:t>
            </w:r>
            <w:proofErr w:type="spellStart"/>
            <w:r w:rsidRPr="00577386">
              <w:rPr>
                <w:rFonts w:eastAsia="Times New Roman"/>
              </w:rPr>
              <w:t>ppt</w:t>
            </w:r>
            <w:proofErr w:type="spellEnd"/>
            <w:r w:rsidRPr="00577386">
              <w:rPr>
                <w:rFonts w:eastAsia="Times New Roman"/>
              </w:rPr>
              <w:t xml:space="preserve">, </w:t>
            </w:r>
            <w:proofErr w:type="spellStart"/>
            <w:r w:rsidRPr="00577386">
              <w:rPr>
                <w:rFonts w:eastAsia="Times New Roman"/>
              </w:rPr>
              <w:t>word</w:t>
            </w:r>
            <w:proofErr w:type="spellEnd"/>
            <w:r w:rsidRPr="00577386">
              <w:rPr>
                <w:rFonts w:eastAsia="Times New Roman"/>
              </w:rPr>
              <w:t xml:space="preserve">, </w:t>
            </w:r>
            <w:proofErr w:type="spellStart"/>
            <w:r w:rsidRPr="00577386">
              <w:rPr>
                <w:rFonts w:eastAsia="Times New Roman"/>
              </w:rPr>
              <w:t>excel</w:t>
            </w:r>
            <w:proofErr w:type="spellEnd"/>
            <w:r w:rsidRPr="00577386">
              <w:rPr>
                <w:rFonts w:eastAsia="Times New Roman"/>
              </w:rPr>
              <w:t>; dokumenty budou ke stažení a ke čtení.</w:t>
            </w:r>
          </w:p>
          <w:p w14:paraId="66895259" w14:textId="77777777" w:rsidR="006C35F7" w:rsidRPr="00577386" w:rsidRDefault="006C35F7" w:rsidP="006C35F7">
            <w:pPr>
              <w:pStyle w:val="Odstavecseseznamem"/>
              <w:ind w:left="1416"/>
              <w:jc w:val="both"/>
              <w:rPr>
                <w:rFonts w:eastAsia="Times New Roman"/>
              </w:rPr>
            </w:pPr>
          </w:p>
          <w:p w14:paraId="5D605BA8" w14:textId="3D2919B7" w:rsidR="006C35F7" w:rsidRPr="00577386" w:rsidRDefault="006C35F7" w:rsidP="006C35F7">
            <w:pPr>
              <w:rPr>
                <w:rFonts w:eastAsia="Times New Roman"/>
              </w:rPr>
            </w:pPr>
            <w:r w:rsidRPr="00577386">
              <w:rPr>
                <w:rFonts w:eastAsia="Times New Roman"/>
                <w:i/>
                <w:iCs/>
              </w:rPr>
              <w:t>V testové části</w:t>
            </w:r>
            <w:r w:rsidRPr="00577386">
              <w:rPr>
                <w:rFonts w:eastAsia="Times New Roman"/>
              </w:rPr>
              <w:t xml:space="preserve"> budou otázky s nabídkou odpovědí, po vyplnění odpovědí modul vyhodnotí počet správných odpovědí; výsledky testů budou zaznamenány v evidenci možností tisku (identifikace osoby, datum provedení testu, počet správných odpovědí a závěr splněno x nesplněno). Testové otázky budou meziročně měněny, musí být tedy možné je v redakčním systému zadávat.</w:t>
            </w:r>
          </w:p>
        </w:tc>
        <w:tc>
          <w:tcPr>
            <w:tcW w:w="958" w:type="dxa"/>
            <w:vAlign w:val="center"/>
          </w:tcPr>
          <w:p w14:paraId="54A913B2" w14:textId="77777777" w:rsidR="006C35F7" w:rsidRPr="00577386" w:rsidRDefault="006C35F7" w:rsidP="006C35F7">
            <w:pPr>
              <w:jc w:val="center"/>
            </w:pPr>
          </w:p>
        </w:tc>
      </w:tr>
      <w:tr w:rsidR="006C35F7" w:rsidRPr="00577386" w14:paraId="64CF6778" w14:textId="77777777" w:rsidTr="00372AFD">
        <w:tc>
          <w:tcPr>
            <w:tcW w:w="647" w:type="dxa"/>
            <w:vAlign w:val="center"/>
          </w:tcPr>
          <w:p w14:paraId="6D66806B" w14:textId="154D09D7" w:rsidR="006C35F7" w:rsidRPr="00577386" w:rsidRDefault="006C35F7" w:rsidP="006C35F7">
            <w:pPr>
              <w:jc w:val="center"/>
            </w:pPr>
            <w:r w:rsidRPr="00577386">
              <w:t>2</w:t>
            </w:r>
          </w:p>
        </w:tc>
        <w:tc>
          <w:tcPr>
            <w:tcW w:w="7457" w:type="dxa"/>
            <w:vAlign w:val="center"/>
          </w:tcPr>
          <w:p w14:paraId="105980FC" w14:textId="40FD501B" w:rsidR="006C35F7" w:rsidRPr="00577386" w:rsidRDefault="006C35F7" w:rsidP="006C35F7">
            <w:pPr>
              <w:rPr>
                <w:rFonts w:eastAsia="Times New Roman"/>
              </w:rPr>
            </w:pPr>
            <w:r w:rsidRPr="00577386">
              <w:rPr>
                <w:rFonts w:eastAsia="Times New Roman"/>
              </w:rPr>
              <w:t xml:space="preserve">Součástí aplikace bude modul </w:t>
            </w:r>
            <w:r w:rsidRPr="00577386">
              <w:rPr>
                <w:rFonts w:eastAsia="Times New Roman"/>
                <w:b/>
              </w:rPr>
              <w:t>Kalendář revizí a kontrol</w:t>
            </w:r>
            <w:r w:rsidRPr="00577386">
              <w:rPr>
                <w:rFonts w:eastAsia="Times New Roman"/>
              </w:rPr>
              <w:t xml:space="preserve"> energetických zařízení v objektech. Do aplikace si zadá konkrétní organizac</w:t>
            </w:r>
            <w:r w:rsidR="00756602" w:rsidRPr="00577386">
              <w:rPr>
                <w:rFonts w:eastAsia="Times New Roman"/>
              </w:rPr>
              <w:t>e</w:t>
            </w:r>
            <w:r w:rsidRPr="00577386">
              <w:rPr>
                <w:rFonts w:eastAsia="Times New Roman"/>
              </w:rPr>
              <w:t xml:space="preserve"> data o svých kontrolách a revizích. Na základě těchto dat aplikace upozorní na blížící se termín vypršení revize. Kalendář bude mít různé úrovně přístupů (rolí).</w:t>
            </w:r>
          </w:p>
        </w:tc>
        <w:tc>
          <w:tcPr>
            <w:tcW w:w="958" w:type="dxa"/>
            <w:vAlign w:val="center"/>
          </w:tcPr>
          <w:p w14:paraId="54B5FD9E" w14:textId="77777777" w:rsidR="006C35F7" w:rsidRPr="00577386" w:rsidRDefault="006C35F7" w:rsidP="006C35F7">
            <w:pPr>
              <w:jc w:val="center"/>
            </w:pPr>
          </w:p>
        </w:tc>
      </w:tr>
    </w:tbl>
    <w:p w14:paraId="6184B3CF" w14:textId="77777777" w:rsidR="006C35F7" w:rsidRPr="00577386" w:rsidRDefault="006C35F7"/>
    <w:p w14:paraId="3A0BB77B" w14:textId="4D6D0941" w:rsidR="006C35F7" w:rsidRPr="00577386" w:rsidRDefault="006C35F7">
      <w:pPr>
        <w:rPr>
          <w:b/>
        </w:rPr>
      </w:pPr>
      <w:r w:rsidRPr="00577386">
        <w:rPr>
          <w:b/>
        </w:rPr>
        <w:t>Požadavky na školení</w:t>
      </w:r>
      <w:r w:rsidR="00FB3638" w:rsidRPr="00577386">
        <w:rPr>
          <w:b/>
        </w:rPr>
        <w:t>:</w:t>
      </w:r>
    </w:p>
    <w:p w14:paraId="2802F01E" w14:textId="37974C5E" w:rsidR="00472A55" w:rsidRPr="00577386" w:rsidRDefault="00472A55">
      <w:r w:rsidRPr="00577386">
        <w:t>V rámci realizace</w:t>
      </w:r>
      <w:r w:rsidRPr="00577386">
        <w:rPr>
          <w:rFonts w:eastAsia="Times New Roman"/>
        </w:rPr>
        <w:t xml:space="preserve"> dodavatel zajistí pro zadavatele (uživatele systému)za školení administrátorů a uživatelů do práce se systémem minimálně v následujícím rozsahu:</w:t>
      </w:r>
    </w:p>
    <w:tbl>
      <w:tblPr>
        <w:tblStyle w:val="Mkatabulky"/>
        <w:tblW w:w="0" w:type="auto"/>
        <w:tblLook w:val="04A0" w:firstRow="1" w:lastRow="0" w:firstColumn="1" w:lastColumn="0" w:noHBand="0" w:noVBand="1"/>
      </w:tblPr>
      <w:tblGrid>
        <w:gridCol w:w="647"/>
        <w:gridCol w:w="7457"/>
        <w:gridCol w:w="958"/>
      </w:tblGrid>
      <w:tr w:rsidR="006C35F7" w:rsidRPr="00577386" w14:paraId="7EB23E84" w14:textId="77777777" w:rsidTr="00372AFD">
        <w:tc>
          <w:tcPr>
            <w:tcW w:w="647" w:type="dxa"/>
            <w:vAlign w:val="center"/>
          </w:tcPr>
          <w:p w14:paraId="2E290C13" w14:textId="16E10A54" w:rsidR="006C35F7" w:rsidRPr="00577386" w:rsidRDefault="006C35F7" w:rsidP="006C35F7">
            <w:pPr>
              <w:jc w:val="center"/>
            </w:pPr>
            <w:r w:rsidRPr="00577386">
              <w:rPr>
                <w:b/>
              </w:rPr>
              <w:t>Číslo</w:t>
            </w:r>
          </w:p>
        </w:tc>
        <w:tc>
          <w:tcPr>
            <w:tcW w:w="7457" w:type="dxa"/>
            <w:vAlign w:val="center"/>
          </w:tcPr>
          <w:p w14:paraId="77C10632" w14:textId="5255EAF1" w:rsidR="006C35F7" w:rsidRPr="00577386" w:rsidRDefault="006C35F7" w:rsidP="006C35F7">
            <w:pPr>
              <w:rPr>
                <w:rFonts w:ascii="Arial" w:hAnsi="Arial" w:cs="Arial"/>
                <w:sz w:val="20"/>
                <w:szCs w:val="20"/>
              </w:rPr>
            </w:pPr>
            <w:r w:rsidRPr="00577386">
              <w:rPr>
                <w:b/>
              </w:rPr>
              <w:t>Požadavek</w:t>
            </w:r>
          </w:p>
        </w:tc>
        <w:tc>
          <w:tcPr>
            <w:tcW w:w="958" w:type="dxa"/>
            <w:vAlign w:val="center"/>
          </w:tcPr>
          <w:p w14:paraId="452302C1" w14:textId="77777777" w:rsidR="006C35F7" w:rsidRPr="00577386" w:rsidRDefault="006C35F7" w:rsidP="006C35F7">
            <w:pPr>
              <w:jc w:val="center"/>
              <w:rPr>
                <w:b/>
              </w:rPr>
            </w:pPr>
            <w:r w:rsidRPr="00577386">
              <w:rPr>
                <w:b/>
              </w:rPr>
              <w:t>Splněno</w:t>
            </w:r>
          </w:p>
          <w:p w14:paraId="4317AF70" w14:textId="6B2D92D5" w:rsidR="006C35F7" w:rsidRPr="00577386" w:rsidRDefault="006C35F7" w:rsidP="006C35F7">
            <w:pPr>
              <w:jc w:val="center"/>
            </w:pPr>
            <w:r w:rsidRPr="00577386">
              <w:rPr>
                <w:b/>
              </w:rPr>
              <w:t>Ano/Ne</w:t>
            </w:r>
          </w:p>
        </w:tc>
      </w:tr>
      <w:tr w:rsidR="006C35F7" w:rsidRPr="00577386" w14:paraId="37ED2D68" w14:textId="77777777" w:rsidTr="00372AFD">
        <w:tc>
          <w:tcPr>
            <w:tcW w:w="647" w:type="dxa"/>
            <w:vAlign w:val="center"/>
          </w:tcPr>
          <w:p w14:paraId="3A750D54" w14:textId="5B090EEC" w:rsidR="006C35F7" w:rsidRPr="00577386" w:rsidRDefault="006C35F7" w:rsidP="006C35F7">
            <w:pPr>
              <w:jc w:val="center"/>
            </w:pPr>
            <w:r w:rsidRPr="00577386">
              <w:t>1</w:t>
            </w:r>
          </w:p>
        </w:tc>
        <w:tc>
          <w:tcPr>
            <w:tcW w:w="7457" w:type="dxa"/>
            <w:vAlign w:val="center"/>
          </w:tcPr>
          <w:p w14:paraId="378D156D" w14:textId="10FD288B" w:rsidR="006C35F7" w:rsidRPr="00577386" w:rsidRDefault="006C35F7" w:rsidP="006C35F7">
            <w:pPr>
              <w:rPr>
                <w:rFonts w:eastAsia="Times New Roman"/>
              </w:rPr>
            </w:pPr>
            <w:r w:rsidRPr="00577386">
              <w:rPr>
                <w:rFonts w:ascii="Arial" w:hAnsi="Arial" w:cs="Arial"/>
                <w:sz w:val="20"/>
                <w:szCs w:val="20"/>
              </w:rPr>
              <w:t>Základní seznámení s funkčností dodávaného systému pro členy projektového týmu zadavatele na začátku realizace díla (před zpracováním detailní analýzy a prováděcího projektu produktu).</w:t>
            </w:r>
          </w:p>
        </w:tc>
        <w:tc>
          <w:tcPr>
            <w:tcW w:w="958" w:type="dxa"/>
            <w:vAlign w:val="center"/>
          </w:tcPr>
          <w:p w14:paraId="3A7BBC22" w14:textId="77777777" w:rsidR="006C35F7" w:rsidRPr="00577386" w:rsidRDefault="006C35F7" w:rsidP="006C35F7">
            <w:pPr>
              <w:jc w:val="center"/>
            </w:pPr>
          </w:p>
        </w:tc>
      </w:tr>
      <w:tr w:rsidR="00472A55" w:rsidRPr="00577386" w14:paraId="6708D284" w14:textId="77777777" w:rsidTr="00372AFD">
        <w:tc>
          <w:tcPr>
            <w:tcW w:w="647" w:type="dxa"/>
            <w:vAlign w:val="center"/>
          </w:tcPr>
          <w:p w14:paraId="330DD23E" w14:textId="7EBA6946" w:rsidR="00472A55" w:rsidRPr="00577386" w:rsidRDefault="00472A55" w:rsidP="006C35F7">
            <w:pPr>
              <w:jc w:val="center"/>
            </w:pPr>
            <w:r w:rsidRPr="00577386">
              <w:t>2</w:t>
            </w:r>
          </w:p>
        </w:tc>
        <w:tc>
          <w:tcPr>
            <w:tcW w:w="7457" w:type="dxa"/>
            <w:vAlign w:val="center"/>
          </w:tcPr>
          <w:p w14:paraId="34475078" w14:textId="39D4DD91" w:rsidR="00472A55" w:rsidRPr="00577386" w:rsidRDefault="00472A55" w:rsidP="006C35F7">
            <w:pPr>
              <w:rPr>
                <w:rFonts w:ascii="Arial" w:hAnsi="Arial" w:cs="Arial"/>
                <w:sz w:val="20"/>
                <w:szCs w:val="20"/>
              </w:rPr>
            </w:pPr>
            <w:r w:rsidRPr="00577386">
              <w:rPr>
                <w:rFonts w:ascii="Arial" w:hAnsi="Arial" w:cs="Arial"/>
                <w:sz w:val="20"/>
                <w:szCs w:val="20"/>
              </w:rPr>
              <w:t>V případě administrátorů systému v rozsahu minimálně 8 hodin pro max. 6 zaměstnanců určených objednatelem, které bude zahrnovat kompletní administraci produktu. Jako podkladový materiál musí být dodána administrátorská příručka.</w:t>
            </w:r>
          </w:p>
        </w:tc>
        <w:tc>
          <w:tcPr>
            <w:tcW w:w="958" w:type="dxa"/>
            <w:vAlign w:val="center"/>
          </w:tcPr>
          <w:p w14:paraId="2EE6CB0F" w14:textId="77777777" w:rsidR="00472A55" w:rsidRPr="00577386" w:rsidRDefault="00472A55" w:rsidP="006C35F7">
            <w:pPr>
              <w:jc w:val="center"/>
            </w:pPr>
          </w:p>
        </w:tc>
      </w:tr>
      <w:tr w:rsidR="00472A55" w:rsidRPr="00577386" w14:paraId="756F4A59" w14:textId="77777777" w:rsidTr="00372AFD">
        <w:tc>
          <w:tcPr>
            <w:tcW w:w="647" w:type="dxa"/>
            <w:vAlign w:val="center"/>
          </w:tcPr>
          <w:p w14:paraId="6D71E1B2" w14:textId="50659E96" w:rsidR="00472A55" w:rsidRPr="00577386" w:rsidRDefault="00472A55" w:rsidP="006C35F7">
            <w:pPr>
              <w:jc w:val="center"/>
            </w:pPr>
            <w:r w:rsidRPr="00577386">
              <w:t>3</w:t>
            </w:r>
          </w:p>
        </w:tc>
        <w:tc>
          <w:tcPr>
            <w:tcW w:w="7457" w:type="dxa"/>
            <w:vAlign w:val="center"/>
          </w:tcPr>
          <w:p w14:paraId="44EC69B8" w14:textId="55ED68FA" w:rsidR="00472A55" w:rsidRPr="00577386" w:rsidRDefault="00472A55" w:rsidP="006C35F7">
            <w:pPr>
              <w:rPr>
                <w:rFonts w:ascii="Arial" w:hAnsi="Arial" w:cs="Arial"/>
                <w:sz w:val="20"/>
                <w:szCs w:val="20"/>
              </w:rPr>
            </w:pPr>
            <w:r w:rsidRPr="00577386">
              <w:rPr>
                <w:rFonts w:ascii="Arial" w:hAnsi="Arial" w:cs="Arial"/>
                <w:sz w:val="20"/>
                <w:szCs w:val="20"/>
              </w:rPr>
              <w:t>Uživatelské školení na seznámení s obsluhou modulů dodaného produktu pro uživatele zadavatele a jeho zřízených organizací a ovládaných obchodních společností. Jako podkladový materiál musí být dodána uživatelská příručka.</w:t>
            </w:r>
          </w:p>
        </w:tc>
        <w:tc>
          <w:tcPr>
            <w:tcW w:w="958" w:type="dxa"/>
            <w:vAlign w:val="center"/>
          </w:tcPr>
          <w:p w14:paraId="3CA08731" w14:textId="77777777" w:rsidR="00472A55" w:rsidRPr="00577386" w:rsidRDefault="00472A55" w:rsidP="006C35F7">
            <w:pPr>
              <w:jc w:val="center"/>
            </w:pPr>
          </w:p>
        </w:tc>
      </w:tr>
      <w:tr w:rsidR="00472A55" w:rsidRPr="00577386" w14:paraId="383CC901" w14:textId="77777777" w:rsidTr="00372AFD">
        <w:tc>
          <w:tcPr>
            <w:tcW w:w="647" w:type="dxa"/>
            <w:vAlign w:val="center"/>
          </w:tcPr>
          <w:p w14:paraId="1A5C253C" w14:textId="419146B3" w:rsidR="00472A55" w:rsidRPr="00577386" w:rsidRDefault="00472A55" w:rsidP="006C35F7">
            <w:pPr>
              <w:jc w:val="center"/>
            </w:pPr>
            <w:r w:rsidRPr="00577386">
              <w:t>4</w:t>
            </w:r>
          </w:p>
        </w:tc>
        <w:tc>
          <w:tcPr>
            <w:tcW w:w="7457" w:type="dxa"/>
            <w:vAlign w:val="center"/>
          </w:tcPr>
          <w:p w14:paraId="5C0D3767" w14:textId="7BE5A3E3" w:rsidR="00472A55" w:rsidRPr="00577386" w:rsidRDefault="00DB3848" w:rsidP="006C35F7">
            <w:pPr>
              <w:rPr>
                <w:rFonts w:ascii="Arial" w:hAnsi="Arial" w:cs="Arial"/>
                <w:sz w:val="20"/>
                <w:szCs w:val="20"/>
              </w:rPr>
            </w:pPr>
            <w:r w:rsidRPr="00577386">
              <w:rPr>
                <w:rFonts w:ascii="Arial" w:hAnsi="Arial" w:cs="Arial"/>
                <w:sz w:val="20"/>
                <w:szCs w:val="20"/>
              </w:rPr>
              <w:t>Veškerá školení poskytovaná v průběhu implementace (realizační fázi), která jsou součástí díla, zajistí zhotovitel na své náklady a v místě realizace.</w:t>
            </w:r>
          </w:p>
        </w:tc>
        <w:tc>
          <w:tcPr>
            <w:tcW w:w="958" w:type="dxa"/>
            <w:vAlign w:val="center"/>
          </w:tcPr>
          <w:p w14:paraId="021344A3" w14:textId="77777777" w:rsidR="00472A55" w:rsidRPr="00577386" w:rsidRDefault="00472A55" w:rsidP="006C35F7">
            <w:pPr>
              <w:jc w:val="center"/>
            </w:pPr>
          </w:p>
        </w:tc>
      </w:tr>
    </w:tbl>
    <w:p w14:paraId="2E4AF586" w14:textId="77777777" w:rsidR="00DB3848" w:rsidRPr="00577386" w:rsidRDefault="00DB3848">
      <w:r w:rsidRPr="00577386">
        <w:br w:type="page"/>
      </w:r>
    </w:p>
    <w:p w14:paraId="0CB9D034" w14:textId="6B08DFAC" w:rsidR="00DB3848" w:rsidRPr="00577386" w:rsidRDefault="00DB3848">
      <w:pPr>
        <w:rPr>
          <w:b/>
        </w:rPr>
      </w:pPr>
      <w:r w:rsidRPr="00577386">
        <w:rPr>
          <w:b/>
        </w:rPr>
        <w:lastRenderedPageBreak/>
        <w:t>Požadavky zadavatele na poskytování technické podpory a servisu</w:t>
      </w:r>
      <w:r w:rsidR="00FB3638" w:rsidRPr="00577386">
        <w:rPr>
          <w:b/>
        </w:rPr>
        <w:t>:</w:t>
      </w:r>
    </w:p>
    <w:tbl>
      <w:tblPr>
        <w:tblStyle w:val="Mkatabulky"/>
        <w:tblW w:w="0" w:type="auto"/>
        <w:tblLook w:val="04A0" w:firstRow="1" w:lastRow="0" w:firstColumn="1" w:lastColumn="0" w:noHBand="0" w:noVBand="1"/>
      </w:tblPr>
      <w:tblGrid>
        <w:gridCol w:w="647"/>
        <w:gridCol w:w="7457"/>
        <w:gridCol w:w="958"/>
      </w:tblGrid>
      <w:tr w:rsidR="00DB3848" w:rsidRPr="00577386" w14:paraId="035EA648" w14:textId="77777777" w:rsidTr="00372AFD">
        <w:tc>
          <w:tcPr>
            <w:tcW w:w="647" w:type="dxa"/>
            <w:vAlign w:val="center"/>
          </w:tcPr>
          <w:p w14:paraId="23FFF411" w14:textId="40EFA6BB" w:rsidR="00DB3848" w:rsidRPr="00577386" w:rsidRDefault="00DB3848" w:rsidP="00DB3848">
            <w:pPr>
              <w:jc w:val="center"/>
            </w:pPr>
            <w:r w:rsidRPr="00577386">
              <w:rPr>
                <w:b/>
              </w:rPr>
              <w:t>Číslo</w:t>
            </w:r>
          </w:p>
        </w:tc>
        <w:tc>
          <w:tcPr>
            <w:tcW w:w="7457" w:type="dxa"/>
            <w:vAlign w:val="center"/>
          </w:tcPr>
          <w:p w14:paraId="2D42E633" w14:textId="44DC39D6" w:rsidR="00DB3848" w:rsidRPr="00577386" w:rsidRDefault="00DB3848" w:rsidP="00DB3848">
            <w:pPr>
              <w:rPr>
                <w:rFonts w:ascii="Arial" w:hAnsi="Arial" w:cs="Arial"/>
                <w:sz w:val="20"/>
                <w:szCs w:val="20"/>
              </w:rPr>
            </w:pPr>
            <w:r w:rsidRPr="00577386">
              <w:rPr>
                <w:b/>
              </w:rPr>
              <w:t>Požadavek</w:t>
            </w:r>
          </w:p>
        </w:tc>
        <w:tc>
          <w:tcPr>
            <w:tcW w:w="958" w:type="dxa"/>
            <w:vAlign w:val="center"/>
          </w:tcPr>
          <w:p w14:paraId="4FA3A1C8" w14:textId="77777777" w:rsidR="00DB3848" w:rsidRPr="00577386" w:rsidRDefault="00DB3848" w:rsidP="00DB3848">
            <w:pPr>
              <w:jc w:val="center"/>
              <w:rPr>
                <w:b/>
              </w:rPr>
            </w:pPr>
            <w:r w:rsidRPr="00577386">
              <w:rPr>
                <w:b/>
              </w:rPr>
              <w:t>Splněno</w:t>
            </w:r>
          </w:p>
          <w:p w14:paraId="7A860AF1" w14:textId="538243BB" w:rsidR="00DB3848" w:rsidRPr="00577386" w:rsidRDefault="00DB3848" w:rsidP="00DB3848">
            <w:pPr>
              <w:jc w:val="center"/>
            </w:pPr>
            <w:r w:rsidRPr="00577386">
              <w:rPr>
                <w:b/>
              </w:rPr>
              <w:t>Ano/Ne</w:t>
            </w:r>
          </w:p>
        </w:tc>
      </w:tr>
      <w:tr w:rsidR="00DB3848" w:rsidRPr="00577386" w14:paraId="03251B34" w14:textId="77777777" w:rsidTr="00372AFD">
        <w:tc>
          <w:tcPr>
            <w:tcW w:w="647" w:type="dxa"/>
            <w:vAlign w:val="center"/>
          </w:tcPr>
          <w:p w14:paraId="3E9EE913" w14:textId="2BFFB50B" w:rsidR="00DB3848" w:rsidRPr="00577386" w:rsidRDefault="00DB3848" w:rsidP="00DB3848">
            <w:pPr>
              <w:jc w:val="center"/>
            </w:pPr>
            <w:r w:rsidRPr="00577386">
              <w:t>1</w:t>
            </w:r>
          </w:p>
        </w:tc>
        <w:tc>
          <w:tcPr>
            <w:tcW w:w="7457" w:type="dxa"/>
            <w:vAlign w:val="center"/>
          </w:tcPr>
          <w:p w14:paraId="716041B6" w14:textId="0F0D4D6C" w:rsidR="00DB3848" w:rsidRPr="00577386" w:rsidRDefault="00DB3848" w:rsidP="00DB3848">
            <w:pPr>
              <w:rPr>
                <w:rFonts w:ascii="Arial" w:hAnsi="Arial" w:cs="Arial"/>
                <w:sz w:val="20"/>
                <w:szCs w:val="20"/>
              </w:rPr>
            </w:pPr>
            <w:r w:rsidRPr="00577386">
              <w:rPr>
                <w:rFonts w:ascii="Arial" w:hAnsi="Arial" w:cs="Arial"/>
                <w:sz w:val="20"/>
                <w:szCs w:val="20"/>
              </w:rPr>
              <w:t>Technická podpora a servis budou poskytovány od počátku zkušebního provozu po celou dobu trvání servisní smlouvy. Poskytování technické a servisní podpory bude odpovídat nejlepším praxím dle rámce ITIL/ITSM.</w:t>
            </w:r>
          </w:p>
        </w:tc>
        <w:tc>
          <w:tcPr>
            <w:tcW w:w="958" w:type="dxa"/>
            <w:vAlign w:val="center"/>
          </w:tcPr>
          <w:p w14:paraId="14C5CBB8" w14:textId="77777777" w:rsidR="00DB3848" w:rsidRPr="00577386" w:rsidRDefault="00DB3848" w:rsidP="00DB3848">
            <w:pPr>
              <w:jc w:val="center"/>
            </w:pPr>
          </w:p>
        </w:tc>
      </w:tr>
      <w:tr w:rsidR="00DB3848" w:rsidRPr="00577386" w14:paraId="71745A5C" w14:textId="77777777" w:rsidTr="00372AFD">
        <w:tc>
          <w:tcPr>
            <w:tcW w:w="647" w:type="dxa"/>
            <w:vAlign w:val="center"/>
          </w:tcPr>
          <w:p w14:paraId="69A067B9" w14:textId="24C4AD7A" w:rsidR="00DB3848" w:rsidRPr="00577386" w:rsidRDefault="00DB3848" w:rsidP="00DB3848">
            <w:pPr>
              <w:jc w:val="center"/>
            </w:pPr>
            <w:r w:rsidRPr="00577386">
              <w:t>2</w:t>
            </w:r>
          </w:p>
        </w:tc>
        <w:tc>
          <w:tcPr>
            <w:tcW w:w="7457" w:type="dxa"/>
            <w:vAlign w:val="center"/>
          </w:tcPr>
          <w:p w14:paraId="49B821A3" w14:textId="759E1F17" w:rsidR="00DB3848" w:rsidRPr="00577386" w:rsidRDefault="00DB3848" w:rsidP="00DB3848">
            <w:pPr>
              <w:rPr>
                <w:rFonts w:ascii="Arial" w:hAnsi="Arial" w:cs="Arial"/>
                <w:sz w:val="20"/>
                <w:szCs w:val="20"/>
              </w:rPr>
            </w:pPr>
            <w:r w:rsidRPr="00577386">
              <w:rPr>
                <w:rFonts w:ascii="Arial" w:hAnsi="Arial" w:cs="Arial"/>
                <w:sz w:val="20"/>
                <w:szCs w:val="20"/>
              </w:rPr>
              <w:t>Technická podpora a servis budou realizovány zhotovitelem případně prostřednictvím odpovídajícího servisního kanálu výrobce.</w:t>
            </w:r>
          </w:p>
        </w:tc>
        <w:tc>
          <w:tcPr>
            <w:tcW w:w="958" w:type="dxa"/>
            <w:vAlign w:val="center"/>
          </w:tcPr>
          <w:p w14:paraId="37EF469A" w14:textId="77777777" w:rsidR="00DB3848" w:rsidRPr="00577386" w:rsidRDefault="00DB3848" w:rsidP="00DB3848">
            <w:pPr>
              <w:jc w:val="center"/>
            </w:pPr>
          </w:p>
        </w:tc>
      </w:tr>
      <w:tr w:rsidR="00DB3848" w:rsidRPr="00577386" w14:paraId="5C8B2943" w14:textId="77777777" w:rsidTr="00372AFD">
        <w:tc>
          <w:tcPr>
            <w:tcW w:w="647" w:type="dxa"/>
            <w:vAlign w:val="center"/>
          </w:tcPr>
          <w:p w14:paraId="37378AAD" w14:textId="283FE475" w:rsidR="00DB3848" w:rsidRPr="00577386" w:rsidRDefault="00DB3848" w:rsidP="00DB3848">
            <w:pPr>
              <w:jc w:val="center"/>
            </w:pPr>
            <w:r w:rsidRPr="00577386">
              <w:t>3</w:t>
            </w:r>
          </w:p>
        </w:tc>
        <w:tc>
          <w:tcPr>
            <w:tcW w:w="7457" w:type="dxa"/>
            <w:vAlign w:val="center"/>
          </w:tcPr>
          <w:p w14:paraId="68CFE311" w14:textId="288D64B9" w:rsidR="00DB3848" w:rsidRPr="00577386" w:rsidRDefault="00DB3848" w:rsidP="00DB3848">
            <w:pPr>
              <w:rPr>
                <w:rFonts w:ascii="Arial" w:hAnsi="Arial" w:cs="Arial"/>
                <w:sz w:val="20"/>
                <w:szCs w:val="20"/>
              </w:rPr>
            </w:pPr>
            <w:r w:rsidRPr="00577386">
              <w:rPr>
                <w:rFonts w:ascii="Arial" w:hAnsi="Arial" w:cs="Arial"/>
                <w:sz w:val="20"/>
                <w:szCs w:val="20"/>
              </w:rPr>
              <w:t>Veškeré požadavky budou evidovány v systému servisní podpory zhotovitele.</w:t>
            </w:r>
          </w:p>
        </w:tc>
        <w:tc>
          <w:tcPr>
            <w:tcW w:w="958" w:type="dxa"/>
            <w:vAlign w:val="center"/>
          </w:tcPr>
          <w:p w14:paraId="0A46E350" w14:textId="77777777" w:rsidR="00DB3848" w:rsidRPr="00577386" w:rsidRDefault="00DB3848" w:rsidP="00DB3848">
            <w:pPr>
              <w:jc w:val="center"/>
            </w:pPr>
          </w:p>
        </w:tc>
      </w:tr>
      <w:tr w:rsidR="00DB3848" w:rsidRPr="00577386" w14:paraId="7FF68AF4" w14:textId="77777777" w:rsidTr="00372AFD">
        <w:tc>
          <w:tcPr>
            <w:tcW w:w="647" w:type="dxa"/>
            <w:vAlign w:val="center"/>
          </w:tcPr>
          <w:p w14:paraId="698B75D9" w14:textId="362C2CC1" w:rsidR="00DB3848" w:rsidRPr="00577386" w:rsidRDefault="00DB3848" w:rsidP="00DB3848">
            <w:pPr>
              <w:jc w:val="center"/>
            </w:pPr>
            <w:r w:rsidRPr="00577386">
              <w:t>4</w:t>
            </w:r>
          </w:p>
        </w:tc>
        <w:tc>
          <w:tcPr>
            <w:tcW w:w="7457" w:type="dxa"/>
            <w:vAlign w:val="center"/>
          </w:tcPr>
          <w:p w14:paraId="2634EA9D" w14:textId="29599269" w:rsidR="00DB3848" w:rsidRPr="00577386" w:rsidRDefault="00DB3848" w:rsidP="00DB3848">
            <w:pPr>
              <w:rPr>
                <w:rFonts w:ascii="Arial" w:hAnsi="Arial" w:cs="Arial"/>
                <w:sz w:val="20"/>
                <w:szCs w:val="20"/>
              </w:rPr>
            </w:pPr>
            <w:r w:rsidRPr="00577386">
              <w:rPr>
                <w:rFonts w:ascii="Arial" w:hAnsi="Arial" w:cs="Arial"/>
                <w:sz w:val="20"/>
                <w:szCs w:val="20"/>
              </w:rPr>
              <w:t>Kontaktní místo umožní příjem požadavku na servisní zásah v českém jazyce na telefonním čísle prostřednictvím služby Hot-line v pracovních dnech v době 8:00 -16:00, příjem požadavku bude zajištěn lidskou obsluhou.</w:t>
            </w:r>
          </w:p>
        </w:tc>
        <w:tc>
          <w:tcPr>
            <w:tcW w:w="958" w:type="dxa"/>
            <w:vAlign w:val="center"/>
          </w:tcPr>
          <w:p w14:paraId="57194846" w14:textId="77777777" w:rsidR="00DB3848" w:rsidRPr="00577386" w:rsidRDefault="00DB3848" w:rsidP="00DB3848">
            <w:pPr>
              <w:jc w:val="center"/>
            </w:pPr>
          </w:p>
        </w:tc>
      </w:tr>
      <w:tr w:rsidR="00DB3848" w:rsidRPr="00577386" w14:paraId="6848CEE1" w14:textId="77777777" w:rsidTr="00372AFD">
        <w:tc>
          <w:tcPr>
            <w:tcW w:w="647" w:type="dxa"/>
            <w:vAlign w:val="center"/>
          </w:tcPr>
          <w:p w14:paraId="2F770A60" w14:textId="57BDB031" w:rsidR="00DB3848" w:rsidRPr="00577386" w:rsidRDefault="00DB3848" w:rsidP="00DB3848">
            <w:pPr>
              <w:jc w:val="center"/>
            </w:pPr>
            <w:r w:rsidRPr="00577386">
              <w:t>5</w:t>
            </w:r>
          </w:p>
        </w:tc>
        <w:tc>
          <w:tcPr>
            <w:tcW w:w="7457" w:type="dxa"/>
            <w:vAlign w:val="center"/>
          </w:tcPr>
          <w:p w14:paraId="04D5D9B3" w14:textId="20ADB830" w:rsidR="00DB3848" w:rsidRPr="00577386" w:rsidRDefault="00DB3848" w:rsidP="00DB3848">
            <w:pPr>
              <w:rPr>
                <w:rFonts w:ascii="Arial" w:hAnsi="Arial" w:cs="Arial"/>
                <w:sz w:val="20"/>
                <w:szCs w:val="20"/>
              </w:rPr>
            </w:pPr>
            <w:r w:rsidRPr="00577386">
              <w:rPr>
                <w:rFonts w:ascii="Arial" w:hAnsi="Arial" w:cs="Arial"/>
                <w:sz w:val="20"/>
                <w:szCs w:val="20"/>
              </w:rPr>
              <w:t>HelpDesk umožní příjem požadavku na servisní zásah v českém jazyce prostřednictvím webového rozhraní v režimu 7x24x365.</w:t>
            </w:r>
          </w:p>
        </w:tc>
        <w:tc>
          <w:tcPr>
            <w:tcW w:w="958" w:type="dxa"/>
            <w:vAlign w:val="center"/>
          </w:tcPr>
          <w:p w14:paraId="1B0D4CD2" w14:textId="77777777" w:rsidR="00DB3848" w:rsidRPr="00577386" w:rsidRDefault="00DB3848" w:rsidP="00DB3848">
            <w:pPr>
              <w:jc w:val="center"/>
            </w:pPr>
          </w:p>
        </w:tc>
      </w:tr>
      <w:tr w:rsidR="00DB3848" w:rsidRPr="00577386" w14:paraId="7E5F382D" w14:textId="77777777" w:rsidTr="00372AFD">
        <w:tc>
          <w:tcPr>
            <w:tcW w:w="647" w:type="dxa"/>
            <w:vAlign w:val="center"/>
          </w:tcPr>
          <w:p w14:paraId="3C4F2DC5" w14:textId="231D3DF7" w:rsidR="00DB3848" w:rsidRPr="00577386" w:rsidRDefault="00DB3848" w:rsidP="00DB3848">
            <w:pPr>
              <w:jc w:val="center"/>
            </w:pPr>
            <w:r w:rsidRPr="00577386">
              <w:t>6</w:t>
            </w:r>
          </w:p>
        </w:tc>
        <w:tc>
          <w:tcPr>
            <w:tcW w:w="7457" w:type="dxa"/>
            <w:vAlign w:val="center"/>
          </w:tcPr>
          <w:p w14:paraId="449BA992" w14:textId="555CC400" w:rsidR="00DB3848" w:rsidRPr="00577386" w:rsidRDefault="00DB3848" w:rsidP="00DB3848">
            <w:pPr>
              <w:rPr>
                <w:rFonts w:ascii="Arial" w:hAnsi="Arial" w:cs="Arial"/>
                <w:sz w:val="20"/>
                <w:szCs w:val="20"/>
              </w:rPr>
            </w:pPr>
            <w:r w:rsidRPr="00577386">
              <w:rPr>
                <w:rFonts w:ascii="Arial" w:hAnsi="Arial" w:cs="Arial"/>
                <w:sz w:val="20"/>
                <w:szCs w:val="20"/>
              </w:rPr>
              <w:t>HelpDesk umožní objednateli upřesnit nebo doplnit požadavek.</w:t>
            </w:r>
          </w:p>
        </w:tc>
        <w:tc>
          <w:tcPr>
            <w:tcW w:w="958" w:type="dxa"/>
            <w:vAlign w:val="center"/>
          </w:tcPr>
          <w:p w14:paraId="22C51910" w14:textId="77777777" w:rsidR="00DB3848" w:rsidRPr="00577386" w:rsidRDefault="00DB3848" w:rsidP="00DB3848">
            <w:pPr>
              <w:jc w:val="center"/>
            </w:pPr>
          </w:p>
        </w:tc>
      </w:tr>
      <w:tr w:rsidR="00DB3848" w:rsidRPr="00577386" w14:paraId="492FE907" w14:textId="77777777" w:rsidTr="00372AFD">
        <w:tc>
          <w:tcPr>
            <w:tcW w:w="647" w:type="dxa"/>
            <w:vAlign w:val="center"/>
          </w:tcPr>
          <w:p w14:paraId="3D64BF9A" w14:textId="33DEF15E" w:rsidR="00DB3848" w:rsidRPr="00577386" w:rsidRDefault="00DB3848" w:rsidP="00DB3848">
            <w:pPr>
              <w:jc w:val="center"/>
            </w:pPr>
            <w:r w:rsidRPr="00577386">
              <w:t>7</w:t>
            </w:r>
          </w:p>
        </w:tc>
        <w:tc>
          <w:tcPr>
            <w:tcW w:w="7457" w:type="dxa"/>
            <w:vAlign w:val="center"/>
          </w:tcPr>
          <w:p w14:paraId="5D1747A4" w14:textId="6363DDA9" w:rsidR="00DB3848" w:rsidRPr="00577386" w:rsidRDefault="00DB3848" w:rsidP="00DB3848">
            <w:pPr>
              <w:rPr>
                <w:rFonts w:ascii="Arial" w:hAnsi="Arial" w:cs="Arial"/>
                <w:sz w:val="20"/>
                <w:szCs w:val="20"/>
              </w:rPr>
            </w:pPr>
            <w:r w:rsidRPr="00577386">
              <w:rPr>
                <w:rFonts w:ascii="Arial" w:hAnsi="Arial" w:cs="Arial"/>
                <w:sz w:val="20"/>
                <w:szCs w:val="20"/>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tc>
        <w:tc>
          <w:tcPr>
            <w:tcW w:w="958" w:type="dxa"/>
            <w:vAlign w:val="center"/>
          </w:tcPr>
          <w:p w14:paraId="61245078" w14:textId="77777777" w:rsidR="00DB3848" w:rsidRPr="00577386" w:rsidRDefault="00DB3848" w:rsidP="00DB3848">
            <w:pPr>
              <w:jc w:val="center"/>
            </w:pPr>
          </w:p>
        </w:tc>
      </w:tr>
      <w:tr w:rsidR="00DB3848" w:rsidRPr="00577386" w14:paraId="341BACE5" w14:textId="77777777" w:rsidTr="00372AFD">
        <w:tc>
          <w:tcPr>
            <w:tcW w:w="647" w:type="dxa"/>
            <w:vAlign w:val="center"/>
          </w:tcPr>
          <w:p w14:paraId="3146A908" w14:textId="0ADE6550" w:rsidR="00DB3848" w:rsidRPr="00577386" w:rsidRDefault="00DB3848" w:rsidP="00DB3848">
            <w:pPr>
              <w:jc w:val="center"/>
            </w:pPr>
            <w:r w:rsidRPr="00577386">
              <w:t>8</w:t>
            </w:r>
          </w:p>
        </w:tc>
        <w:tc>
          <w:tcPr>
            <w:tcW w:w="7457" w:type="dxa"/>
            <w:vAlign w:val="center"/>
          </w:tcPr>
          <w:p w14:paraId="7ECF6C46" w14:textId="698786C0" w:rsidR="00DB3848" w:rsidRPr="00577386" w:rsidRDefault="00DB3848" w:rsidP="00DB3848">
            <w:pPr>
              <w:rPr>
                <w:rFonts w:ascii="Arial" w:hAnsi="Arial" w:cs="Arial"/>
                <w:sz w:val="20"/>
                <w:szCs w:val="20"/>
              </w:rPr>
            </w:pPr>
            <w:r w:rsidRPr="00577386">
              <w:rPr>
                <w:rFonts w:ascii="Arial" w:hAnsi="Arial" w:cs="Arial"/>
                <w:sz w:val="20"/>
                <w:szCs w:val="20"/>
              </w:rPr>
              <w:t>HelpDesk poskytuje objednateli přístup i k uzavřeným požadavkům a způsobu jejich řešení, bude poskytovat podrobné údaje o historii požadavků od jejich nahlášení, po jejich vyřešení.</w:t>
            </w:r>
          </w:p>
        </w:tc>
        <w:tc>
          <w:tcPr>
            <w:tcW w:w="958" w:type="dxa"/>
            <w:vAlign w:val="center"/>
          </w:tcPr>
          <w:p w14:paraId="7679A77F" w14:textId="77777777" w:rsidR="00DB3848" w:rsidRPr="00577386" w:rsidRDefault="00DB3848" w:rsidP="00DB3848">
            <w:pPr>
              <w:jc w:val="center"/>
            </w:pPr>
          </w:p>
        </w:tc>
      </w:tr>
      <w:tr w:rsidR="00DB3848" w:rsidRPr="00577386" w14:paraId="6B8D9793" w14:textId="77777777" w:rsidTr="00372AFD">
        <w:tc>
          <w:tcPr>
            <w:tcW w:w="647" w:type="dxa"/>
            <w:vAlign w:val="center"/>
          </w:tcPr>
          <w:p w14:paraId="660A36C1" w14:textId="2808B2D7" w:rsidR="00DB3848" w:rsidRPr="00577386" w:rsidRDefault="00DB3848" w:rsidP="00DB3848">
            <w:pPr>
              <w:jc w:val="center"/>
            </w:pPr>
            <w:r w:rsidRPr="00577386">
              <w:t>9</w:t>
            </w:r>
          </w:p>
        </w:tc>
        <w:tc>
          <w:tcPr>
            <w:tcW w:w="7457" w:type="dxa"/>
            <w:vAlign w:val="center"/>
          </w:tcPr>
          <w:p w14:paraId="30E380A7" w14:textId="1311AC39" w:rsidR="00DB3848" w:rsidRPr="00577386" w:rsidRDefault="00DB3848" w:rsidP="00DB3848">
            <w:pPr>
              <w:rPr>
                <w:rFonts w:ascii="Arial" w:hAnsi="Arial" w:cs="Arial"/>
                <w:sz w:val="20"/>
                <w:szCs w:val="20"/>
              </w:rPr>
            </w:pPr>
            <w:r w:rsidRPr="00577386">
              <w:rPr>
                <w:rFonts w:ascii="Arial" w:hAnsi="Arial" w:cs="Arial"/>
                <w:sz w:val="20"/>
                <w:szCs w:val="20"/>
              </w:rPr>
              <w:t>HelpDesk umožňuje export dat, včetně obsahu požadavku a způsobu vyřešení. Tato funkcionalita je poskytována bezúplatně minimálně na vyžádání objednatele ve formátu minimálně *.</w:t>
            </w:r>
            <w:proofErr w:type="spellStart"/>
            <w:r w:rsidRPr="00577386">
              <w:rPr>
                <w:rFonts w:ascii="Arial" w:hAnsi="Arial" w:cs="Arial"/>
                <w:sz w:val="20"/>
                <w:szCs w:val="20"/>
              </w:rPr>
              <w:t>xls</w:t>
            </w:r>
            <w:proofErr w:type="spellEnd"/>
            <w:r w:rsidRPr="00577386">
              <w:rPr>
                <w:rFonts w:ascii="Arial" w:hAnsi="Arial" w:cs="Arial"/>
                <w:sz w:val="20"/>
                <w:szCs w:val="20"/>
              </w:rPr>
              <w:t xml:space="preserve"> a *.</w:t>
            </w:r>
            <w:proofErr w:type="spellStart"/>
            <w:r w:rsidRPr="00577386">
              <w:rPr>
                <w:rFonts w:ascii="Arial" w:hAnsi="Arial" w:cs="Arial"/>
                <w:sz w:val="20"/>
                <w:szCs w:val="20"/>
              </w:rPr>
              <w:t>csv</w:t>
            </w:r>
            <w:proofErr w:type="spellEnd"/>
            <w:r w:rsidRPr="00577386">
              <w:rPr>
                <w:rFonts w:ascii="Arial" w:hAnsi="Arial" w:cs="Arial"/>
                <w:sz w:val="20"/>
                <w:szCs w:val="20"/>
              </w:rPr>
              <w:t>.</w:t>
            </w:r>
          </w:p>
        </w:tc>
        <w:tc>
          <w:tcPr>
            <w:tcW w:w="958" w:type="dxa"/>
            <w:vAlign w:val="center"/>
          </w:tcPr>
          <w:p w14:paraId="22CB47C8" w14:textId="77777777" w:rsidR="00DB3848" w:rsidRPr="00577386" w:rsidRDefault="00DB3848" w:rsidP="00DB3848">
            <w:pPr>
              <w:jc w:val="center"/>
            </w:pPr>
          </w:p>
        </w:tc>
      </w:tr>
    </w:tbl>
    <w:p w14:paraId="2795C8A1" w14:textId="55620823" w:rsidR="00DB3848" w:rsidRPr="00577386" w:rsidRDefault="00DB3848"/>
    <w:p w14:paraId="383E9EE2" w14:textId="041781D9" w:rsidR="00DB3848" w:rsidRPr="00577386" w:rsidRDefault="00DB3848">
      <w:r w:rsidRPr="00577386">
        <w:rPr>
          <w:rFonts w:eastAsia="Calibri" w:cstheme="minorHAnsi"/>
          <w:b/>
        </w:rPr>
        <w:t>Parametry technické podpory a servisu</w:t>
      </w:r>
      <w:r w:rsidRPr="00577386">
        <w:rPr>
          <w:rFonts w:eastAsia="Calibri" w:cstheme="minorHAnsi"/>
        </w:rPr>
        <w:t>:</w:t>
      </w:r>
    </w:p>
    <w:tbl>
      <w:tblPr>
        <w:tblStyle w:val="Mkatabulky"/>
        <w:tblW w:w="0" w:type="auto"/>
        <w:tblLook w:val="04A0" w:firstRow="1" w:lastRow="0" w:firstColumn="1" w:lastColumn="0" w:noHBand="0" w:noVBand="1"/>
      </w:tblPr>
      <w:tblGrid>
        <w:gridCol w:w="647"/>
        <w:gridCol w:w="7457"/>
        <w:gridCol w:w="958"/>
      </w:tblGrid>
      <w:tr w:rsidR="00DB3848" w:rsidRPr="00577386" w14:paraId="15382FCF" w14:textId="77777777" w:rsidTr="00372AFD">
        <w:tc>
          <w:tcPr>
            <w:tcW w:w="647" w:type="dxa"/>
            <w:vAlign w:val="center"/>
          </w:tcPr>
          <w:p w14:paraId="2353F020" w14:textId="39652366" w:rsidR="00DB3848" w:rsidRPr="00577386" w:rsidRDefault="00DB3848" w:rsidP="00DB3848">
            <w:pPr>
              <w:jc w:val="center"/>
            </w:pPr>
            <w:r w:rsidRPr="00577386">
              <w:rPr>
                <w:b/>
              </w:rPr>
              <w:t>Číslo</w:t>
            </w:r>
          </w:p>
        </w:tc>
        <w:tc>
          <w:tcPr>
            <w:tcW w:w="7457" w:type="dxa"/>
            <w:vAlign w:val="center"/>
          </w:tcPr>
          <w:p w14:paraId="662FB22C" w14:textId="780BD6E5" w:rsidR="00DB3848" w:rsidRPr="00577386" w:rsidRDefault="00DB3848" w:rsidP="00DB3848">
            <w:pPr>
              <w:rPr>
                <w:rFonts w:ascii="Arial" w:hAnsi="Arial" w:cs="Arial"/>
                <w:sz w:val="20"/>
                <w:szCs w:val="20"/>
              </w:rPr>
            </w:pPr>
            <w:r w:rsidRPr="00577386">
              <w:rPr>
                <w:b/>
              </w:rPr>
              <w:t>Požadavek</w:t>
            </w:r>
          </w:p>
        </w:tc>
        <w:tc>
          <w:tcPr>
            <w:tcW w:w="958" w:type="dxa"/>
            <w:vAlign w:val="center"/>
          </w:tcPr>
          <w:p w14:paraId="793FFD08" w14:textId="77777777" w:rsidR="00DB3848" w:rsidRPr="00577386" w:rsidRDefault="00DB3848" w:rsidP="00DB3848">
            <w:pPr>
              <w:jc w:val="center"/>
              <w:rPr>
                <w:b/>
              </w:rPr>
            </w:pPr>
            <w:r w:rsidRPr="00577386">
              <w:rPr>
                <w:b/>
              </w:rPr>
              <w:t>Splněno</w:t>
            </w:r>
          </w:p>
          <w:p w14:paraId="4ED324D0" w14:textId="26DB2733" w:rsidR="00DB3848" w:rsidRPr="00577386" w:rsidRDefault="00DB3848" w:rsidP="00DB3848">
            <w:pPr>
              <w:jc w:val="center"/>
            </w:pPr>
            <w:r w:rsidRPr="00577386">
              <w:rPr>
                <w:b/>
              </w:rPr>
              <w:t>Ano/Ne</w:t>
            </w:r>
          </w:p>
        </w:tc>
      </w:tr>
      <w:tr w:rsidR="00DB3848" w:rsidRPr="00577386" w14:paraId="44229F30" w14:textId="77777777" w:rsidTr="00372AFD">
        <w:tc>
          <w:tcPr>
            <w:tcW w:w="647" w:type="dxa"/>
            <w:vAlign w:val="center"/>
          </w:tcPr>
          <w:p w14:paraId="3FB927E7" w14:textId="407B9CC7" w:rsidR="00DB3848" w:rsidRPr="00577386" w:rsidRDefault="00DB3848" w:rsidP="00DB3848">
            <w:pPr>
              <w:jc w:val="center"/>
            </w:pPr>
            <w:r w:rsidRPr="00577386">
              <w:t>1</w:t>
            </w:r>
          </w:p>
        </w:tc>
        <w:tc>
          <w:tcPr>
            <w:tcW w:w="7457" w:type="dxa"/>
            <w:vAlign w:val="center"/>
          </w:tcPr>
          <w:p w14:paraId="6FB023EE" w14:textId="77777777" w:rsidR="00DB3848" w:rsidRPr="00577386" w:rsidRDefault="00DB3848" w:rsidP="00DB3848">
            <w:pPr>
              <w:rPr>
                <w:rFonts w:eastAsia="Calibri" w:cstheme="minorHAnsi"/>
              </w:rPr>
            </w:pPr>
            <w:r w:rsidRPr="00577386">
              <w:rPr>
                <w:rFonts w:ascii="Arial" w:hAnsi="Arial" w:cs="Arial"/>
                <w:color w:val="000000"/>
                <w:sz w:val="20"/>
                <w:szCs w:val="20"/>
              </w:rPr>
              <w:t>Garantovaná doba odezvy do 12:00 hodin následujícího pracovního dne po nahlášení požadavku.</w:t>
            </w:r>
          </w:p>
          <w:p w14:paraId="3D3C992B" w14:textId="77777777" w:rsidR="00DB3848" w:rsidRPr="00577386" w:rsidRDefault="00DB3848" w:rsidP="00DB3848">
            <w:pPr>
              <w:rPr>
                <w:rFonts w:ascii="Arial" w:hAnsi="Arial" w:cs="Arial"/>
                <w:sz w:val="20"/>
                <w:szCs w:val="20"/>
              </w:rPr>
            </w:pPr>
          </w:p>
        </w:tc>
        <w:tc>
          <w:tcPr>
            <w:tcW w:w="958" w:type="dxa"/>
            <w:vAlign w:val="center"/>
          </w:tcPr>
          <w:p w14:paraId="58CCCEB3" w14:textId="77777777" w:rsidR="00DB3848" w:rsidRPr="00577386" w:rsidRDefault="00DB3848" w:rsidP="00DB3848">
            <w:pPr>
              <w:jc w:val="center"/>
            </w:pPr>
          </w:p>
        </w:tc>
      </w:tr>
      <w:tr w:rsidR="00DB3848" w:rsidRPr="00577386" w14:paraId="6FED97EB" w14:textId="77777777" w:rsidTr="00372AFD">
        <w:tc>
          <w:tcPr>
            <w:tcW w:w="647" w:type="dxa"/>
            <w:vAlign w:val="center"/>
          </w:tcPr>
          <w:p w14:paraId="0769594B" w14:textId="613A628C" w:rsidR="00DB3848" w:rsidRPr="00577386" w:rsidRDefault="00DB3848" w:rsidP="00DB3848">
            <w:pPr>
              <w:jc w:val="center"/>
            </w:pPr>
            <w:r w:rsidRPr="00577386">
              <w:t>2</w:t>
            </w:r>
          </w:p>
        </w:tc>
        <w:tc>
          <w:tcPr>
            <w:tcW w:w="7457" w:type="dxa"/>
            <w:vAlign w:val="center"/>
          </w:tcPr>
          <w:p w14:paraId="5955CEF9" w14:textId="77777777" w:rsidR="00C21B80" w:rsidRPr="00577386" w:rsidRDefault="00C21B80" w:rsidP="00C21B80">
            <w:pPr>
              <w:spacing w:after="60" w:line="276" w:lineRule="auto"/>
              <w:rPr>
                <w:rFonts w:ascii="Arial" w:hAnsi="Arial" w:cs="Arial"/>
                <w:color w:val="000000"/>
                <w:sz w:val="20"/>
                <w:szCs w:val="20"/>
              </w:rPr>
            </w:pPr>
            <w:r w:rsidRPr="00577386">
              <w:rPr>
                <w:rFonts w:ascii="Arial" w:hAnsi="Arial" w:cs="Arial"/>
                <w:color w:val="000000"/>
                <w:sz w:val="20"/>
                <w:szCs w:val="20"/>
              </w:rPr>
              <w:t>Garantovaná doba obnovení funkce a odstraňování vad kategorie „</w:t>
            </w:r>
            <w:r w:rsidRPr="00577386">
              <w:rPr>
                <w:rFonts w:ascii="Arial" w:hAnsi="Arial" w:cs="Arial"/>
                <w:b/>
                <w:color w:val="000000"/>
                <w:sz w:val="20"/>
                <w:szCs w:val="20"/>
              </w:rPr>
              <w:t>vysoká</w:t>
            </w:r>
            <w:r w:rsidRPr="00577386">
              <w:rPr>
                <w:rFonts w:ascii="Arial" w:hAnsi="Arial" w:cs="Arial"/>
                <w:color w:val="000000"/>
                <w:sz w:val="20"/>
                <w:szCs w:val="20"/>
              </w:rPr>
              <w:t>“ (nefunkčnost významné části nebo celého systému sběru dat):</w:t>
            </w:r>
          </w:p>
          <w:p w14:paraId="4BF2023E" w14:textId="77777777" w:rsidR="00C21B80" w:rsidRPr="00577386" w:rsidRDefault="00C21B80" w:rsidP="00C21B80">
            <w:pPr>
              <w:numPr>
                <w:ilvl w:val="2"/>
                <w:numId w:val="2"/>
              </w:numPr>
              <w:autoSpaceDN w:val="0"/>
              <w:spacing w:after="40" w:line="276" w:lineRule="auto"/>
              <w:jc w:val="both"/>
              <w:rPr>
                <w:rFonts w:ascii="Arial" w:hAnsi="Arial" w:cs="Arial"/>
                <w:sz w:val="20"/>
                <w:szCs w:val="20"/>
              </w:rPr>
            </w:pPr>
            <w:r w:rsidRPr="00577386">
              <w:rPr>
                <w:rFonts w:ascii="Arial" w:hAnsi="Arial" w:cs="Arial"/>
                <w:sz w:val="20"/>
                <w:szCs w:val="20"/>
              </w:rPr>
              <w:t xml:space="preserve">garantovaná doba zahájení prací </w:t>
            </w:r>
            <w:r w:rsidRPr="00577386">
              <w:rPr>
                <w:rFonts w:ascii="Arial" w:hAnsi="Arial" w:cs="Arial"/>
                <w:color w:val="000000"/>
                <w:sz w:val="20"/>
                <w:szCs w:val="20"/>
              </w:rPr>
              <w:t>do 12:00 hodin následujícího pracovního dne po</w:t>
            </w:r>
            <w:r w:rsidRPr="00577386" w:rsidDel="00903148">
              <w:rPr>
                <w:rFonts w:ascii="Arial" w:hAnsi="Arial" w:cs="Arial"/>
                <w:sz w:val="20"/>
                <w:szCs w:val="20"/>
              </w:rPr>
              <w:t xml:space="preserve"> </w:t>
            </w:r>
            <w:r w:rsidRPr="00577386">
              <w:rPr>
                <w:rFonts w:ascii="Arial" w:hAnsi="Arial" w:cs="Arial"/>
                <w:sz w:val="20"/>
                <w:szCs w:val="20"/>
              </w:rPr>
              <w:t>nahlášení vady</w:t>
            </w:r>
          </w:p>
          <w:p w14:paraId="6F93590D" w14:textId="1E4CF1EC" w:rsidR="00DB3848" w:rsidRPr="00577386" w:rsidRDefault="00C21B80" w:rsidP="00C21B80">
            <w:pPr>
              <w:pStyle w:val="Odstavecseseznamem"/>
              <w:numPr>
                <w:ilvl w:val="2"/>
                <w:numId w:val="2"/>
              </w:numPr>
              <w:rPr>
                <w:rFonts w:ascii="Arial" w:hAnsi="Arial" w:cs="Arial"/>
                <w:sz w:val="20"/>
                <w:szCs w:val="20"/>
              </w:rPr>
            </w:pPr>
            <w:r w:rsidRPr="00577386">
              <w:rPr>
                <w:rFonts w:ascii="Arial" w:hAnsi="Arial" w:cs="Arial"/>
                <w:sz w:val="20"/>
                <w:szCs w:val="20"/>
              </w:rPr>
              <w:t xml:space="preserve">garantovaná doba odstranění vady </w:t>
            </w:r>
            <w:r w:rsidRPr="00577386">
              <w:rPr>
                <w:rFonts w:ascii="Arial" w:hAnsi="Arial"/>
                <w:sz w:val="20"/>
              </w:rPr>
              <w:t xml:space="preserve">do </w:t>
            </w:r>
            <w:r w:rsidRPr="00577386">
              <w:rPr>
                <w:rFonts w:ascii="Arial" w:hAnsi="Arial"/>
                <w:color w:val="000000"/>
                <w:sz w:val="20"/>
              </w:rPr>
              <w:t>24</w:t>
            </w:r>
            <w:r w:rsidRPr="00577386">
              <w:rPr>
                <w:rFonts w:ascii="Arial" w:hAnsi="Arial" w:cs="Arial"/>
                <w:color w:val="000000"/>
                <w:sz w:val="20"/>
                <w:szCs w:val="20"/>
              </w:rPr>
              <w:t>:00 hodin následujícího pracovního dne po</w:t>
            </w:r>
            <w:r w:rsidRPr="00577386" w:rsidDel="00903148">
              <w:rPr>
                <w:rFonts w:ascii="Arial" w:hAnsi="Arial" w:cs="Arial"/>
                <w:sz w:val="20"/>
                <w:szCs w:val="20"/>
              </w:rPr>
              <w:t xml:space="preserve"> </w:t>
            </w:r>
            <w:r w:rsidRPr="00577386">
              <w:rPr>
                <w:rFonts w:ascii="Arial" w:hAnsi="Arial" w:cs="Arial"/>
                <w:sz w:val="20"/>
                <w:szCs w:val="20"/>
              </w:rPr>
              <w:t>od nahlášení vady</w:t>
            </w:r>
          </w:p>
        </w:tc>
        <w:tc>
          <w:tcPr>
            <w:tcW w:w="958" w:type="dxa"/>
            <w:vAlign w:val="center"/>
          </w:tcPr>
          <w:p w14:paraId="02CC3A84" w14:textId="77777777" w:rsidR="00DB3848" w:rsidRPr="00577386" w:rsidRDefault="00DB3848" w:rsidP="00DB3848">
            <w:pPr>
              <w:jc w:val="center"/>
            </w:pPr>
          </w:p>
        </w:tc>
      </w:tr>
      <w:tr w:rsidR="00DB3848" w:rsidRPr="00577386" w14:paraId="53ACC9D9" w14:textId="77777777" w:rsidTr="00372AFD">
        <w:tc>
          <w:tcPr>
            <w:tcW w:w="647" w:type="dxa"/>
            <w:vAlign w:val="center"/>
          </w:tcPr>
          <w:p w14:paraId="1699357D" w14:textId="17E3700D" w:rsidR="00DB3848" w:rsidRPr="00577386" w:rsidRDefault="00DB3848" w:rsidP="00DB3848">
            <w:pPr>
              <w:jc w:val="center"/>
            </w:pPr>
            <w:r w:rsidRPr="00577386">
              <w:t>3</w:t>
            </w:r>
          </w:p>
        </w:tc>
        <w:tc>
          <w:tcPr>
            <w:tcW w:w="7457" w:type="dxa"/>
            <w:vAlign w:val="center"/>
          </w:tcPr>
          <w:p w14:paraId="7D2CA1FA" w14:textId="77777777" w:rsidR="00C21B80" w:rsidRPr="00577386" w:rsidRDefault="00C21B80" w:rsidP="00C21B80">
            <w:pPr>
              <w:spacing w:after="60" w:line="276" w:lineRule="auto"/>
              <w:rPr>
                <w:rFonts w:ascii="Arial" w:hAnsi="Arial" w:cs="Arial"/>
                <w:color w:val="000000"/>
                <w:sz w:val="20"/>
                <w:szCs w:val="20"/>
              </w:rPr>
            </w:pPr>
            <w:r w:rsidRPr="00577386">
              <w:rPr>
                <w:rFonts w:ascii="Arial" w:hAnsi="Arial" w:cs="Arial"/>
                <w:color w:val="000000"/>
                <w:sz w:val="20"/>
                <w:szCs w:val="20"/>
              </w:rPr>
              <w:t>Garantovaná doba obnovení funkce a odstraňování vad kategorie „</w:t>
            </w:r>
            <w:r w:rsidRPr="00577386">
              <w:rPr>
                <w:rFonts w:ascii="Arial" w:hAnsi="Arial" w:cs="Arial"/>
                <w:b/>
                <w:color w:val="000000"/>
                <w:sz w:val="20"/>
                <w:szCs w:val="20"/>
              </w:rPr>
              <w:t>středn</w:t>
            </w:r>
            <w:r w:rsidRPr="00577386">
              <w:rPr>
                <w:rFonts w:ascii="Arial" w:hAnsi="Arial" w:cs="Arial"/>
                <w:color w:val="000000"/>
                <w:sz w:val="20"/>
                <w:szCs w:val="20"/>
              </w:rPr>
              <w:t>í“ (nefunkčnost menší části systému, např. zobrazování dat, kde nehrozí ztráta a zapisování dat):</w:t>
            </w:r>
          </w:p>
          <w:p w14:paraId="344EEFD4" w14:textId="77777777" w:rsidR="00C21B80" w:rsidRPr="00577386" w:rsidRDefault="00C21B80" w:rsidP="00C21B80">
            <w:pPr>
              <w:numPr>
                <w:ilvl w:val="2"/>
                <w:numId w:val="2"/>
              </w:numPr>
              <w:autoSpaceDN w:val="0"/>
              <w:spacing w:after="40" w:line="276" w:lineRule="auto"/>
              <w:jc w:val="both"/>
              <w:rPr>
                <w:rFonts w:ascii="Arial" w:hAnsi="Arial" w:cs="Arial"/>
                <w:sz w:val="20"/>
                <w:szCs w:val="20"/>
              </w:rPr>
            </w:pPr>
            <w:r w:rsidRPr="00577386">
              <w:rPr>
                <w:rFonts w:ascii="Arial" w:hAnsi="Arial" w:cs="Arial"/>
                <w:sz w:val="20"/>
                <w:szCs w:val="20"/>
              </w:rPr>
              <w:t xml:space="preserve">garantovaná doba zahájení prací </w:t>
            </w:r>
            <w:r w:rsidRPr="00577386">
              <w:rPr>
                <w:rFonts w:ascii="Arial" w:hAnsi="Arial"/>
                <w:sz w:val="20"/>
              </w:rPr>
              <w:t xml:space="preserve">do </w:t>
            </w:r>
            <w:r w:rsidRPr="00577386">
              <w:rPr>
                <w:rFonts w:ascii="Arial" w:hAnsi="Arial" w:cs="Arial"/>
                <w:color w:val="000000"/>
                <w:sz w:val="20"/>
                <w:szCs w:val="20"/>
              </w:rPr>
              <w:t>12:00 hodin následujícího pracovního dne po</w:t>
            </w:r>
            <w:r w:rsidRPr="00577386" w:rsidDel="00903148">
              <w:rPr>
                <w:rFonts w:ascii="Arial" w:hAnsi="Arial" w:cs="Arial"/>
                <w:sz w:val="20"/>
                <w:szCs w:val="20"/>
              </w:rPr>
              <w:t xml:space="preserve"> </w:t>
            </w:r>
            <w:r w:rsidRPr="00577386">
              <w:rPr>
                <w:rFonts w:ascii="Arial" w:hAnsi="Arial" w:cs="Arial"/>
                <w:sz w:val="20"/>
                <w:szCs w:val="20"/>
              </w:rPr>
              <w:t>nahlášení vady</w:t>
            </w:r>
          </w:p>
          <w:p w14:paraId="0EA5C133" w14:textId="5353632B" w:rsidR="00DB3848" w:rsidRPr="00577386" w:rsidRDefault="00C21B80" w:rsidP="00C21B80">
            <w:pPr>
              <w:pStyle w:val="Odstavecseseznamem"/>
              <w:numPr>
                <w:ilvl w:val="2"/>
                <w:numId w:val="2"/>
              </w:numPr>
              <w:rPr>
                <w:rFonts w:ascii="Arial" w:hAnsi="Arial" w:cs="Arial"/>
                <w:sz w:val="20"/>
                <w:szCs w:val="20"/>
              </w:rPr>
            </w:pPr>
            <w:r w:rsidRPr="00577386">
              <w:rPr>
                <w:rFonts w:ascii="Arial" w:hAnsi="Arial" w:cs="Arial"/>
                <w:sz w:val="20"/>
                <w:szCs w:val="20"/>
              </w:rPr>
              <w:t>garantovaná doba odstranění vady do 2 pracovních dnů od nahlášení vady</w:t>
            </w:r>
          </w:p>
        </w:tc>
        <w:tc>
          <w:tcPr>
            <w:tcW w:w="958" w:type="dxa"/>
            <w:vAlign w:val="center"/>
          </w:tcPr>
          <w:p w14:paraId="07F16B44" w14:textId="77777777" w:rsidR="00DB3848" w:rsidRPr="00577386" w:rsidRDefault="00DB3848" w:rsidP="00DB3848">
            <w:pPr>
              <w:jc w:val="center"/>
            </w:pPr>
          </w:p>
        </w:tc>
      </w:tr>
      <w:tr w:rsidR="00DB3848" w:rsidRPr="00577386" w14:paraId="1816D08A" w14:textId="77777777" w:rsidTr="00372AFD">
        <w:tc>
          <w:tcPr>
            <w:tcW w:w="647" w:type="dxa"/>
            <w:vAlign w:val="center"/>
          </w:tcPr>
          <w:p w14:paraId="0D92092C" w14:textId="0114DCF7" w:rsidR="00DB3848" w:rsidRPr="00577386" w:rsidRDefault="00C21B80" w:rsidP="00DB3848">
            <w:pPr>
              <w:jc w:val="center"/>
            </w:pPr>
            <w:r w:rsidRPr="00577386">
              <w:t>4</w:t>
            </w:r>
          </w:p>
        </w:tc>
        <w:tc>
          <w:tcPr>
            <w:tcW w:w="7457" w:type="dxa"/>
            <w:vAlign w:val="center"/>
          </w:tcPr>
          <w:p w14:paraId="2C831E3B" w14:textId="77777777" w:rsidR="00C21B80" w:rsidRPr="00577386" w:rsidRDefault="00C21B80" w:rsidP="00C21B80">
            <w:pPr>
              <w:spacing w:after="60" w:line="276" w:lineRule="auto"/>
              <w:rPr>
                <w:rFonts w:ascii="Arial" w:hAnsi="Arial" w:cs="Arial"/>
                <w:color w:val="000000"/>
                <w:sz w:val="20"/>
                <w:szCs w:val="20"/>
              </w:rPr>
            </w:pPr>
            <w:r w:rsidRPr="00577386">
              <w:rPr>
                <w:rFonts w:ascii="Arial" w:hAnsi="Arial" w:cs="Arial"/>
                <w:color w:val="000000"/>
                <w:sz w:val="20"/>
                <w:szCs w:val="20"/>
              </w:rPr>
              <w:t>Garantovaná doba obnovení funkce a odstraňování vad kategorie „</w:t>
            </w:r>
            <w:r w:rsidRPr="00577386">
              <w:rPr>
                <w:rFonts w:ascii="Arial" w:hAnsi="Arial" w:cs="Arial"/>
                <w:b/>
                <w:color w:val="000000"/>
                <w:sz w:val="20"/>
                <w:szCs w:val="20"/>
              </w:rPr>
              <w:t>nízká</w:t>
            </w:r>
            <w:r w:rsidRPr="00577386">
              <w:rPr>
                <w:rFonts w:ascii="Arial" w:hAnsi="Arial" w:cs="Arial"/>
                <w:color w:val="000000"/>
                <w:sz w:val="20"/>
                <w:szCs w:val="20"/>
              </w:rPr>
              <w:t>“ (např. nefunkčnost odečítání jednoho měřidla):</w:t>
            </w:r>
          </w:p>
          <w:p w14:paraId="3D2B76FB" w14:textId="77777777" w:rsidR="00C21B80" w:rsidRPr="00577386" w:rsidRDefault="00C21B80" w:rsidP="00C21B80">
            <w:pPr>
              <w:numPr>
                <w:ilvl w:val="2"/>
                <w:numId w:val="2"/>
              </w:numPr>
              <w:autoSpaceDN w:val="0"/>
              <w:spacing w:after="40" w:line="276" w:lineRule="auto"/>
              <w:jc w:val="both"/>
              <w:rPr>
                <w:rFonts w:ascii="Arial" w:hAnsi="Arial" w:cs="Arial"/>
                <w:sz w:val="20"/>
                <w:szCs w:val="20"/>
              </w:rPr>
            </w:pPr>
            <w:r w:rsidRPr="00577386">
              <w:rPr>
                <w:rFonts w:ascii="Arial" w:hAnsi="Arial" w:cs="Arial"/>
                <w:sz w:val="20"/>
                <w:szCs w:val="20"/>
              </w:rPr>
              <w:t>garantovaná doba zahájení prací do 2 pracovních dnů od nahlášení požadavku</w:t>
            </w:r>
          </w:p>
          <w:p w14:paraId="36769123" w14:textId="478041D7" w:rsidR="00DB3848" w:rsidRPr="00577386" w:rsidRDefault="00C21B80" w:rsidP="00C21B80">
            <w:pPr>
              <w:pStyle w:val="Odstavecseseznamem"/>
              <w:numPr>
                <w:ilvl w:val="2"/>
                <w:numId w:val="2"/>
              </w:numPr>
              <w:rPr>
                <w:rFonts w:ascii="Arial" w:hAnsi="Arial" w:cs="Arial"/>
                <w:sz w:val="20"/>
                <w:szCs w:val="20"/>
              </w:rPr>
            </w:pPr>
            <w:r w:rsidRPr="00577386">
              <w:rPr>
                <w:rFonts w:ascii="Arial" w:hAnsi="Arial" w:cs="Arial"/>
                <w:sz w:val="20"/>
                <w:szCs w:val="20"/>
              </w:rPr>
              <w:t>garantovaná doba odstranění vady do 10 pracovních dnů od nahlášení požadavku</w:t>
            </w:r>
          </w:p>
        </w:tc>
        <w:tc>
          <w:tcPr>
            <w:tcW w:w="958" w:type="dxa"/>
            <w:vAlign w:val="center"/>
          </w:tcPr>
          <w:p w14:paraId="7DAAAF5F" w14:textId="77777777" w:rsidR="00DB3848" w:rsidRPr="00577386" w:rsidRDefault="00DB3848" w:rsidP="00DB3848">
            <w:pPr>
              <w:jc w:val="center"/>
            </w:pPr>
          </w:p>
        </w:tc>
      </w:tr>
    </w:tbl>
    <w:p w14:paraId="41DB9143" w14:textId="77777777" w:rsidR="00C21B80" w:rsidRPr="00577386" w:rsidRDefault="00C21B80">
      <w:r w:rsidRPr="00577386">
        <w:br w:type="page"/>
      </w:r>
    </w:p>
    <w:p w14:paraId="1F6094AA" w14:textId="34D23706" w:rsidR="00C21B80" w:rsidRPr="00577386" w:rsidRDefault="00FB3638">
      <w:pPr>
        <w:rPr>
          <w:b/>
        </w:rPr>
      </w:pPr>
      <w:r w:rsidRPr="00577386">
        <w:rPr>
          <w:b/>
        </w:rPr>
        <w:lastRenderedPageBreak/>
        <w:t>Další požadavky:</w:t>
      </w:r>
    </w:p>
    <w:tbl>
      <w:tblPr>
        <w:tblStyle w:val="Mkatabulky"/>
        <w:tblW w:w="0" w:type="auto"/>
        <w:tblLook w:val="04A0" w:firstRow="1" w:lastRow="0" w:firstColumn="1" w:lastColumn="0" w:noHBand="0" w:noVBand="1"/>
      </w:tblPr>
      <w:tblGrid>
        <w:gridCol w:w="647"/>
        <w:gridCol w:w="7457"/>
        <w:gridCol w:w="958"/>
      </w:tblGrid>
      <w:tr w:rsidR="00C21B80" w:rsidRPr="00577386" w14:paraId="144C2DEE" w14:textId="77777777" w:rsidTr="00372AFD">
        <w:tc>
          <w:tcPr>
            <w:tcW w:w="647" w:type="dxa"/>
            <w:vAlign w:val="center"/>
          </w:tcPr>
          <w:p w14:paraId="7E2B26E1" w14:textId="75D00060" w:rsidR="00C21B80" w:rsidRPr="00577386" w:rsidRDefault="00C21B80" w:rsidP="00C21B80">
            <w:pPr>
              <w:jc w:val="center"/>
            </w:pPr>
            <w:r w:rsidRPr="00577386">
              <w:rPr>
                <w:b/>
              </w:rPr>
              <w:t>Číslo</w:t>
            </w:r>
          </w:p>
        </w:tc>
        <w:tc>
          <w:tcPr>
            <w:tcW w:w="7457" w:type="dxa"/>
            <w:vAlign w:val="center"/>
          </w:tcPr>
          <w:p w14:paraId="587F7169" w14:textId="47AB61A7" w:rsidR="00C21B80" w:rsidRPr="00577386" w:rsidRDefault="00C21B80" w:rsidP="00C21B80">
            <w:pPr>
              <w:rPr>
                <w:rFonts w:ascii="Arial" w:hAnsi="Arial" w:cs="Arial"/>
                <w:sz w:val="20"/>
                <w:szCs w:val="20"/>
              </w:rPr>
            </w:pPr>
            <w:r w:rsidRPr="00577386">
              <w:rPr>
                <w:b/>
              </w:rPr>
              <w:t>Požadavek</w:t>
            </w:r>
          </w:p>
        </w:tc>
        <w:tc>
          <w:tcPr>
            <w:tcW w:w="958" w:type="dxa"/>
            <w:vAlign w:val="center"/>
          </w:tcPr>
          <w:p w14:paraId="14CE2A66" w14:textId="77777777" w:rsidR="00C21B80" w:rsidRPr="00577386" w:rsidRDefault="00C21B80" w:rsidP="00C21B80">
            <w:pPr>
              <w:jc w:val="center"/>
              <w:rPr>
                <w:b/>
              </w:rPr>
            </w:pPr>
            <w:r w:rsidRPr="00577386">
              <w:rPr>
                <w:b/>
              </w:rPr>
              <w:t>Splněno</w:t>
            </w:r>
          </w:p>
          <w:p w14:paraId="2C2EA3BC" w14:textId="443D3FA8" w:rsidR="00C21B80" w:rsidRPr="00577386" w:rsidRDefault="00C21B80" w:rsidP="00C21B80">
            <w:pPr>
              <w:jc w:val="center"/>
            </w:pPr>
            <w:r w:rsidRPr="00577386">
              <w:rPr>
                <w:b/>
              </w:rPr>
              <w:t>Ano/Ne</w:t>
            </w:r>
          </w:p>
        </w:tc>
      </w:tr>
      <w:tr w:rsidR="00C21B80" w:rsidRPr="00577386" w14:paraId="11E8CD77" w14:textId="77777777" w:rsidTr="00372AFD">
        <w:tc>
          <w:tcPr>
            <w:tcW w:w="647" w:type="dxa"/>
            <w:vAlign w:val="center"/>
          </w:tcPr>
          <w:p w14:paraId="17E54DD1" w14:textId="7CBFD723" w:rsidR="00C21B80" w:rsidRPr="00577386" w:rsidRDefault="00C21B80" w:rsidP="00C21B80">
            <w:pPr>
              <w:jc w:val="center"/>
            </w:pPr>
            <w:r w:rsidRPr="00577386">
              <w:t>1</w:t>
            </w:r>
          </w:p>
        </w:tc>
        <w:tc>
          <w:tcPr>
            <w:tcW w:w="7457" w:type="dxa"/>
            <w:vAlign w:val="center"/>
          </w:tcPr>
          <w:p w14:paraId="52E6F70F" w14:textId="0F90E18A" w:rsidR="00C21B80" w:rsidRPr="00577386" w:rsidRDefault="00C21B80" w:rsidP="00C21B80">
            <w:pPr>
              <w:rPr>
                <w:rFonts w:ascii="Arial" w:hAnsi="Arial" w:cs="Arial"/>
                <w:sz w:val="20"/>
                <w:szCs w:val="20"/>
              </w:rPr>
            </w:pPr>
            <w:r w:rsidRPr="00577386">
              <w:rPr>
                <w:rFonts w:eastAsia="Times New Roman"/>
              </w:rPr>
              <w:t>Veškerá dodaná zařízení musí plně odpovídat právním předpisům platným v České republice a příslušným českým technickým a harmonizovaným českým technickým normám.</w:t>
            </w:r>
          </w:p>
        </w:tc>
        <w:tc>
          <w:tcPr>
            <w:tcW w:w="958" w:type="dxa"/>
            <w:vAlign w:val="center"/>
          </w:tcPr>
          <w:p w14:paraId="01A0D3C5" w14:textId="77777777" w:rsidR="00C21B80" w:rsidRPr="00577386" w:rsidRDefault="00C21B80" w:rsidP="00C21B80">
            <w:pPr>
              <w:jc w:val="center"/>
            </w:pPr>
          </w:p>
        </w:tc>
      </w:tr>
      <w:tr w:rsidR="00C21B80" w:rsidRPr="00577386" w14:paraId="6829646A" w14:textId="77777777" w:rsidTr="00372AFD">
        <w:tc>
          <w:tcPr>
            <w:tcW w:w="647" w:type="dxa"/>
            <w:vAlign w:val="center"/>
          </w:tcPr>
          <w:p w14:paraId="33DF7F59" w14:textId="66AD4203" w:rsidR="00C21B80" w:rsidRPr="00577386" w:rsidRDefault="00C21B80" w:rsidP="00C21B80">
            <w:pPr>
              <w:jc w:val="center"/>
            </w:pPr>
            <w:r w:rsidRPr="00577386">
              <w:t>2</w:t>
            </w:r>
          </w:p>
        </w:tc>
        <w:tc>
          <w:tcPr>
            <w:tcW w:w="7457" w:type="dxa"/>
            <w:vAlign w:val="center"/>
          </w:tcPr>
          <w:p w14:paraId="20254995" w14:textId="5DE7AFD1" w:rsidR="00C21B80" w:rsidRPr="00577386" w:rsidRDefault="00C21B80" w:rsidP="00C21B80">
            <w:pPr>
              <w:rPr>
                <w:rFonts w:ascii="Arial" w:hAnsi="Arial" w:cs="Arial"/>
                <w:sz w:val="20"/>
                <w:szCs w:val="20"/>
              </w:rPr>
            </w:pPr>
            <w:r w:rsidRPr="00577386">
              <w:rPr>
                <w:rFonts w:eastAsia="Times New Roman"/>
              </w:rPr>
              <w:t>Dodavatel může využít prací a služeb svých subdodavatelů. Dodavatel bude informovat zadavatele o všech svých subdodavatelích pracujících na jednotlivých lokalitách.</w:t>
            </w:r>
          </w:p>
        </w:tc>
        <w:tc>
          <w:tcPr>
            <w:tcW w:w="958" w:type="dxa"/>
            <w:vAlign w:val="center"/>
          </w:tcPr>
          <w:p w14:paraId="5184A136" w14:textId="77777777" w:rsidR="00C21B80" w:rsidRPr="00577386" w:rsidRDefault="00C21B80" w:rsidP="00C21B80">
            <w:pPr>
              <w:jc w:val="center"/>
            </w:pPr>
          </w:p>
        </w:tc>
      </w:tr>
      <w:tr w:rsidR="00C21B80" w14:paraId="5BB7D44E" w14:textId="77777777" w:rsidTr="00372AFD">
        <w:tc>
          <w:tcPr>
            <w:tcW w:w="647" w:type="dxa"/>
            <w:vAlign w:val="center"/>
          </w:tcPr>
          <w:p w14:paraId="5E87D3C5" w14:textId="1FCA674D" w:rsidR="00C21B80" w:rsidRPr="00577386" w:rsidRDefault="00C21B80" w:rsidP="00C21B80">
            <w:pPr>
              <w:jc w:val="center"/>
            </w:pPr>
            <w:r w:rsidRPr="00577386">
              <w:t>3</w:t>
            </w:r>
          </w:p>
        </w:tc>
        <w:tc>
          <w:tcPr>
            <w:tcW w:w="7457" w:type="dxa"/>
            <w:vAlign w:val="center"/>
          </w:tcPr>
          <w:p w14:paraId="1BD41DDC" w14:textId="5D955437" w:rsidR="00C21B80" w:rsidRPr="004B7AE8" w:rsidRDefault="00C21B80" w:rsidP="00C21B80">
            <w:pPr>
              <w:rPr>
                <w:rFonts w:ascii="Arial" w:hAnsi="Arial" w:cs="Arial"/>
                <w:sz w:val="20"/>
                <w:szCs w:val="20"/>
              </w:rPr>
            </w:pPr>
            <w:r w:rsidRPr="00577386">
              <w:rPr>
                <w:rFonts w:eastAsia="Times New Roman"/>
              </w:rPr>
              <w:t>Před předáním díla předá dodavatel zadavateli technickou dokumentaci skutečného provedení díla, včetně specifikace jednotlivých prvků HW a popisu nastavení jejich vzájemné komunikace.</w:t>
            </w:r>
            <w:bookmarkStart w:id="0" w:name="_GoBack"/>
            <w:bookmarkEnd w:id="0"/>
          </w:p>
        </w:tc>
        <w:tc>
          <w:tcPr>
            <w:tcW w:w="958" w:type="dxa"/>
            <w:vAlign w:val="center"/>
          </w:tcPr>
          <w:p w14:paraId="338A4CFA" w14:textId="77777777" w:rsidR="00C21B80" w:rsidRPr="00FE1E96" w:rsidRDefault="00C21B80" w:rsidP="00C21B80">
            <w:pPr>
              <w:jc w:val="center"/>
            </w:pPr>
          </w:p>
        </w:tc>
      </w:tr>
    </w:tbl>
    <w:p w14:paraId="276F1933" w14:textId="77777777" w:rsidR="00081DF7" w:rsidRDefault="00081DF7" w:rsidP="00D42DCD"/>
    <w:p w14:paraId="0AFC43DD" w14:textId="77777777" w:rsidR="00371B7C" w:rsidRDefault="00371B7C" w:rsidP="00371B7C">
      <w:pPr>
        <w:spacing w:after="0" w:line="240" w:lineRule="auto"/>
      </w:pPr>
    </w:p>
    <w:sectPr w:rsidR="00371B7C" w:rsidSect="0053347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E6352"/>
    <w:multiLevelType w:val="hybridMultilevel"/>
    <w:tmpl w:val="B9F0C37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C9D768B"/>
    <w:multiLevelType w:val="hybridMultilevel"/>
    <w:tmpl w:val="979A76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66D598B"/>
    <w:multiLevelType w:val="hybridMultilevel"/>
    <w:tmpl w:val="EEFA8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A06463"/>
    <w:multiLevelType w:val="hybridMultilevel"/>
    <w:tmpl w:val="D240714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373059D1"/>
    <w:multiLevelType w:val="hybridMultilevel"/>
    <w:tmpl w:val="814C9E60"/>
    <w:lvl w:ilvl="0" w:tplc="50D45606">
      <w:start w:val="2"/>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CF11E3E"/>
    <w:multiLevelType w:val="hybridMultilevel"/>
    <w:tmpl w:val="C5945F20"/>
    <w:lvl w:ilvl="0" w:tplc="0405000F">
      <w:start w:val="1"/>
      <w:numFmt w:val="decimal"/>
      <w:lvlText w:val="%1."/>
      <w:lvlJc w:val="left"/>
      <w:pPr>
        <w:ind w:left="933" w:hanging="360"/>
      </w:pPr>
    </w:lvl>
    <w:lvl w:ilvl="1" w:tplc="04050019">
      <w:start w:val="1"/>
      <w:numFmt w:val="lowerLetter"/>
      <w:lvlText w:val="%2."/>
      <w:lvlJc w:val="left"/>
      <w:pPr>
        <w:ind w:left="1653" w:hanging="360"/>
      </w:pPr>
    </w:lvl>
    <w:lvl w:ilvl="2" w:tplc="0405001B">
      <w:start w:val="1"/>
      <w:numFmt w:val="lowerRoman"/>
      <w:lvlText w:val="%3."/>
      <w:lvlJc w:val="right"/>
      <w:pPr>
        <w:ind w:left="2373" w:hanging="180"/>
      </w:pPr>
    </w:lvl>
    <w:lvl w:ilvl="3" w:tplc="0405000F">
      <w:start w:val="1"/>
      <w:numFmt w:val="decimal"/>
      <w:lvlText w:val="%4."/>
      <w:lvlJc w:val="left"/>
      <w:pPr>
        <w:ind w:left="3093" w:hanging="360"/>
      </w:pPr>
    </w:lvl>
    <w:lvl w:ilvl="4" w:tplc="04050019">
      <w:start w:val="1"/>
      <w:numFmt w:val="lowerLetter"/>
      <w:lvlText w:val="%5."/>
      <w:lvlJc w:val="left"/>
      <w:pPr>
        <w:ind w:left="3813" w:hanging="360"/>
      </w:pPr>
    </w:lvl>
    <w:lvl w:ilvl="5" w:tplc="0405001B">
      <w:start w:val="1"/>
      <w:numFmt w:val="lowerRoman"/>
      <w:lvlText w:val="%6."/>
      <w:lvlJc w:val="right"/>
      <w:pPr>
        <w:ind w:left="4533" w:hanging="180"/>
      </w:pPr>
    </w:lvl>
    <w:lvl w:ilvl="6" w:tplc="0405000F">
      <w:start w:val="1"/>
      <w:numFmt w:val="decimal"/>
      <w:lvlText w:val="%7."/>
      <w:lvlJc w:val="left"/>
      <w:pPr>
        <w:ind w:left="5253" w:hanging="360"/>
      </w:pPr>
    </w:lvl>
    <w:lvl w:ilvl="7" w:tplc="04050019">
      <w:start w:val="1"/>
      <w:numFmt w:val="lowerLetter"/>
      <w:lvlText w:val="%8."/>
      <w:lvlJc w:val="left"/>
      <w:pPr>
        <w:ind w:left="5973" w:hanging="360"/>
      </w:pPr>
    </w:lvl>
    <w:lvl w:ilvl="8" w:tplc="0405001B">
      <w:start w:val="1"/>
      <w:numFmt w:val="lowerRoman"/>
      <w:lvlText w:val="%9."/>
      <w:lvlJc w:val="right"/>
      <w:pPr>
        <w:ind w:left="6693" w:hanging="180"/>
      </w:pPr>
    </w:lvl>
  </w:abstractNum>
  <w:abstractNum w:abstractNumId="6" w15:restartNumberingAfterBreak="0">
    <w:nsid w:val="40221111"/>
    <w:multiLevelType w:val="hybridMultilevel"/>
    <w:tmpl w:val="DC1CA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2C4691D"/>
    <w:multiLevelType w:val="hybridMultilevel"/>
    <w:tmpl w:val="87EA7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8BE2A99"/>
    <w:multiLevelType w:val="hybridMultilevel"/>
    <w:tmpl w:val="B38A55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D2C2A47"/>
    <w:multiLevelType w:val="hybridMultilevel"/>
    <w:tmpl w:val="1E32DE74"/>
    <w:lvl w:ilvl="0" w:tplc="04050001">
      <w:start w:val="1"/>
      <w:numFmt w:val="bullet"/>
      <w:lvlText w:val=""/>
      <w:lvlJc w:val="left"/>
      <w:pPr>
        <w:tabs>
          <w:tab w:val="num" w:pos="513"/>
        </w:tabs>
        <w:ind w:left="513" w:hanging="153"/>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43293A"/>
    <w:multiLevelType w:val="hybridMultilevel"/>
    <w:tmpl w:val="97D2C30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5AD3B18"/>
    <w:multiLevelType w:val="hybridMultilevel"/>
    <w:tmpl w:val="A9D26D3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D751DB"/>
    <w:multiLevelType w:val="hybridMultilevel"/>
    <w:tmpl w:val="07966AD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8"/>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6"/>
  </w:num>
  <w:num w:numId="7">
    <w:abstractNumId w:val="2"/>
  </w:num>
  <w:num w:numId="8">
    <w:abstractNumId w:val="9"/>
  </w:num>
  <w:num w:numId="9">
    <w:abstractNumId w:val="10"/>
  </w:num>
  <w:num w:numId="10">
    <w:abstractNumId w:val="3"/>
  </w:num>
  <w:num w:numId="11">
    <w:abstractNumId w:val="12"/>
  </w:num>
  <w:num w:numId="12">
    <w:abstractNumId w:val="7"/>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162"/>
    <w:rsid w:val="0001663F"/>
    <w:rsid w:val="00081DF7"/>
    <w:rsid w:val="0009745E"/>
    <w:rsid w:val="00100DB9"/>
    <w:rsid w:val="00124B48"/>
    <w:rsid w:val="0018145E"/>
    <w:rsid w:val="00184EBB"/>
    <w:rsid w:val="00190601"/>
    <w:rsid w:val="001A6346"/>
    <w:rsid w:val="001B0797"/>
    <w:rsid w:val="001D4473"/>
    <w:rsid w:val="001F5B9C"/>
    <w:rsid w:val="002024F0"/>
    <w:rsid w:val="00204739"/>
    <w:rsid w:val="002468A2"/>
    <w:rsid w:val="002627E5"/>
    <w:rsid w:val="0031315F"/>
    <w:rsid w:val="00343B70"/>
    <w:rsid w:val="00371B7C"/>
    <w:rsid w:val="003B1290"/>
    <w:rsid w:val="0042580E"/>
    <w:rsid w:val="00472A55"/>
    <w:rsid w:val="00493CDF"/>
    <w:rsid w:val="004B4C6A"/>
    <w:rsid w:val="00517E91"/>
    <w:rsid w:val="00533477"/>
    <w:rsid w:val="00546080"/>
    <w:rsid w:val="00577386"/>
    <w:rsid w:val="00585E34"/>
    <w:rsid w:val="005B4E5E"/>
    <w:rsid w:val="005C61E8"/>
    <w:rsid w:val="005D6BC7"/>
    <w:rsid w:val="00615178"/>
    <w:rsid w:val="006520F8"/>
    <w:rsid w:val="00681A54"/>
    <w:rsid w:val="006843AD"/>
    <w:rsid w:val="006C35F7"/>
    <w:rsid w:val="00713796"/>
    <w:rsid w:val="00716ABB"/>
    <w:rsid w:val="00721ED3"/>
    <w:rsid w:val="007240D2"/>
    <w:rsid w:val="007258A5"/>
    <w:rsid w:val="00750EBA"/>
    <w:rsid w:val="00756602"/>
    <w:rsid w:val="0075685A"/>
    <w:rsid w:val="00794B26"/>
    <w:rsid w:val="007B48A3"/>
    <w:rsid w:val="008753D7"/>
    <w:rsid w:val="008973CC"/>
    <w:rsid w:val="00917BF9"/>
    <w:rsid w:val="00985DEC"/>
    <w:rsid w:val="00990253"/>
    <w:rsid w:val="00A668B5"/>
    <w:rsid w:val="00A90F04"/>
    <w:rsid w:val="00AE64A5"/>
    <w:rsid w:val="00C21B80"/>
    <w:rsid w:val="00C24AA2"/>
    <w:rsid w:val="00C3675C"/>
    <w:rsid w:val="00C52CE2"/>
    <w:rsid w:val="00C52D98"/>
    <w:rsid w:val="00C53624"/>
    <w:rsid w:val="00C81997"/>
    <w:rsid w:val="00CD0BF9"/>
    <w:rsid w:val="00CF2D90"/>
    <w:rsid w:val="00D05891"/>
    <w:rsid w:val="00D342CD"/>
    <w:rsid w:val="00D40F47"/>
    <w:rsid w:val="00D42DCD"/>
    <w:rsid w:val="00D6093D"/>
    <w:rsid w:val="00D72996"/>
    <w:rsid w:val="00DA215C"/>
    <w:rsid w:val="00DB3848"/>
    <w:rsid w:val="00DF1F56"/>
    <w:rsid w:val="00DF29EF"/>
    <w:rsid w:val="00E55249"/>
    <w:rsid w:val="00E56A4E"/>
    <w:rsid w:val="00E73CFF"/>
    <w:rsid w:val="00E95162"/>
    <w:rsid w:val="00ED72CC"/>
    <w:rsid w:val="00F06821"/>
    <w:rsid w:val="00F87567"/>
    <w:rsid w:val="00FB3638"/>
    <w:rsid w:val="00FB4E9C"/>
    <w:rsid w:val="00FC3D36"/>
    <w:rsid w:val="00FE1E96"/>
    <w:rsid w:val="00FE6D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E4BD3"/>
  <w15:chartTrackingRefBased/>
  <w15:docId w15:val="{A4721DB1-8974-4B61-950A-76051CB8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16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Seznama)"/>
    <w:basedOn w:val="Normln"/>
    <w:link w:val="OdstavecseseznamemChar"/>
    <w:uiPriority w:val="34"/>
    <w:qFormat/>
    <w:rsid w:val="00E95162"/>
    <w:pPr>
      <w:ind w:left="720"/>
      <w:contextualSpacing/>
    </w:pPr>
  </w:style>
  <w:style w:type="paragraph" w:styleId="Textkomente">
    <w:name w:val="annotation text"/>
    <w:basedOn w:val="Normln"/>
    <w:link w:val="TextkomenteChar"/>
    <w:uiPriority w:val="99"/>
    <w:semiHidden/>
    <w:unhideWhenUsed/>
    <w:rsid w:val="00E95162"/>
    <w:pPr>
      <w:spacing w:after="0" w:line="240" w:lineRule="auto"/>
    </w:pPr>
    <w:rPr>
      <w:rFonts w:ascii="Calibri" w:hAnsi="Calibri" w:cs="Calibri"/>
      <w:sz w:val="20"/>
      <w:szCs w:val="20"/>
    </w:rPr>
  </w:style>
  <w:style w:type="character" w:customStyle="1" w:styleId="TextkomenteChar">
    <w:name w:val="Text komentáře Char"/>
    <w:basedOn w:val="Standardnpsmoodstavce"/>
    <w:link w:val="Textkomente"/>
    <w:uiPriority w:val="99"/>
    <w:semiHidden/>
    <w:rsid w:val="00E95162"/>
    <w:rPr>
      <w:rFonts w:ascii="Calibri" w:hAnsi="Calibri" w:cs="Calibri"/>
      <w:sz w:val="20"/>
      <w:szCs w:val="20"/>
    </w:rPr>
  </w:style>
  <w:style w:type="character" w:styleId="Odkaznakoment">
    <w:name w:val="annotation reference"/>
    <w:basedOn w:val="Standardnpsmoodstavce"/>
    <w:uiPriority w:val="99"/>
    <w:semiHidden/>
    <w:unhideWhenUsed/>
    <w:rsid w:val="00E95162"/>
    <w:rPr>
      <w:sz w:val="16"/>
      <w:szCs w:val="16"/>
    </w:rPr>
  </w:style>
  <w:style w:type="paragraph" w:styleId="Textbubliny">
    <w:name w:val="Balloon Text"/>
    <w:basedOn w:val="Normln"/>
    <w:link w:val="TextbublinyChar"/>
    <w:uiPriority w:val="99"/>
    <w:semiHidden/>
    <w:unhideWhenUsed/>
    <w:rsid w:val="00E9516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95162"/>
    <w:rPr>
      <w:rFonts w:ascii="Segoe UI" w:hAnsi="Segoe UI" w:cs="Segoe UI"/>
      <w:sz w:val="18"/>
      <w:szCs w:val="18"/>
    </w:rPr>
  </w:style>
  <w:style w:type="character" w:customStyle="1" w:styleId="OdstavecseseznamemChar">
    <w:name w:val="Odstavec se seznamem Char"/>
    <w:aliases w:val="Seznama) Char"/>
    <w:link w:val="Odstavecseseznamem"/>
    <w:uiPriority w:val="34"/>
    <w:locked/>
    <w:rsid w:val="0018145E"/>
  </w:style>
  <w:style w:type="table" w:styleId="Mkatabulky">
    <w:name w:val="Table Grid"/>
    <w:basedOn w:val="Normlntabulka"/>
    <w:uiPriority w:val="39"/>
    <w:rsid w:val="00CD0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33903">
      <w:bodyDiv w:val="1"/>
      <w:marLeft w:val="0"/>
      <w:marRight w:val="0"/>
      <w:marTop w:val="0"/>
      <w:marBottom w:val="0"/>
      <w:divBdr>
        <w:top w:val="none" w:sz="0" w:space="0" w:color="auto"/>
        <w:left w:val="none" w:sz="0" w:space="0" w:color="auto"/>
        <w:bottom w:val="none" w:sz="0" w:space="0" w:color="auto"/>
        <w:right w:val="none" w:sz="0" w:space="0" w:color="auto"/>
      </w:divBdr>
    </w:div>
    <w:div w:id="1355688647">
      <w:bodyDiv w:val="1"/>
      <w:marLeft w:val="0"/>
      <w:marRight w:val="0"/>
      <w:marTop w:val="0"/>
      <w:marBottom w:val="0"/>
      <w:divBdr>
        <w:top w:val="none" w:sz="0" w:space="0" w:color="auto"/>
        <w:left w:val="none" w:sz="0" w:space="0" w:color="auto"/>
        <w:bottom w:val="none" w:sz="0" w:space="0" w:color="auto"/>
        <w:right w:val="none" w:sz="0" w:space="0" w:color="auto"/>
      </w:divBdr>
    </w:div>
    <w:div w:id="170309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2087</Words>
  <Characters>12318</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Dvořáček Bořek Ing.</dc:creator>
  <cp:keywords/>
  <dc:description/>
  <cp:lastModifiedBy>Jan Baše</cp:lastModifiedBy>
  <cp:revision>2</cp:revision>
  <dcterms:created xsi:type="dcterms:W3CDTF">2021-05-14T08:53:00Z</dcterms:created>
  <dcterms:modified xsi:type="dcterms:W3CDTF">2021-05-14T08:53:00Z</dcterms:modified>
</cp:coreProperties>
</file>