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E9BE3" w14:textId="48574C01" w:rsidR="00A02FAD" w:rsidRPr="00C94821" w:rsidRDefault="00A02FAD" w:rsidP="00A02FAD">
      <w:pPr>
        <w:pStyle w:val="Zhlav"/>
      </w:pPr>
      <w:r>
        <w:tab/>
      </w:r>
      <w:r>
        <w:tab/>
      </w:r>
      <w:r>
        <w:t>Příloha č. 2_3_Technická specifikace</w:t>
      </w:r>
    </w:p>
    <w:p w14:paraId="5E805CF5" w14:textId="77777777" w:rsidR="00A02FAD" w:rsidRDefault="00A02FAD" w:rsidP="00344E00">
      <w:pPr>
        <w:jc w:val="both"/>
        <w:rPr>
          <w:rFonts w:ascii="Calibri" w:hAnsi="Calibri"/>
          <w:b/>
          <w:sz w:val="24"/>
        </w:rPr>
      </w:pPr>
    </w:p>
    <w:p w14:paraId="7741E296" w14:textId="77777777" w:rsidR="00A02FAD" w:rsidRDefault="00A02FAD" w:rsidP="00344E00">
      <w:pPr>
        <w:jc w:val="both"/>
        <w:rPr>
          <w:rFonts w:ascii="Calibri" w:hAnsi="Calibri"/>
          <w:b/>
          <w:sz w:val="24"/>
        </w:rPr>
      </w:pPr>
    </w:p>
    <w:p w14:paraId="0A33CF67" w14:textId="7D7B1E2F" w:rsidR="00344E00" w:rsidRPr="003D3501" w:rsidRDefault="00344E00" w:rsidP="00344E00">
      <w:pPr>
        <w:jc w:val="both"/>
        <w:rPr>
          <w:rFonts w:ascii="Calibri" w:hAnsi="Calibri"/>
          <w:b/>
          <w:sz w:val="24"/>
        </w:rPr>
      </w:pPr>
      <w:r w:rsidRPr="003D3501">
        <w:rPr>
          <w:rFonts w:ascii="Calibri" w:hAnsi="Calibri"/>
          <w:b/>
          <w:sz w:val="24"/>
        </w:rPr>
        <w:t xml:space="preserve">Vyplněná příloha č. </w:t>
      </w:r>
      <w:r w:rsidR="002B1855">
        <w:rPr>
          <w:rFonts w:ascii="Calibri" w:hAnsi="Calibri"/>
          <w:b/>
          <w:sz w:val="24"/>
        </w:rPr>
        <w:t>2_3</w:t>
      </w:r>
      <w:r w:rsidRPr="003D3501">
        <w:rPr>
          <w:rFonts w:ascii="Calibri" w:hAnsi="Calibri"/>
          <w:b/>
          <w:sz w:val="24"/>
        </w:rPr>
        <w:t xml:space="preserve"> tvoří nedílnou součást nabídky účastníka zadávacího řízení.</w:t>
      </w:r>
    </w:p>
    <w:p w14:paraId="00A854ED" w14:textId="77777777" w:rsidR="00344E00" w:rsidRDefault="00344E00" w:rsidP="00344E00">
      <w:pPr>
        <w:jc w:val="both"/>
        <w:rPr>
          <w:rFonts w:ascii="Calibri" w:hAnsi="Calibri"/>
          <w:b/>
          <w:sz w:val="28"/>
          <w:szCs w:val="28"/>
        </w:rPr>
      </w:pPr>
    </w:p>
    <w:p w14:paraId="54CEA58B" w14:textId="32D2F1C2" w:rsidR="00344E00" w:rsidRPr="00CB77F8" w:rsidRDefault="0086775C" w:rsidP="00CB77F8">
      <w:pPr>
        <w:shd w:val="clear" w:color="auto" w:fill="C1EAFF"/>
        <w:spacing w:after="120"/>
        <w:jc w:val="both"/>
        <w:outlineLvl w:val="0"/>
        <w:rPr>
          <w:rFonts w:cs="Arial"/>
          <w:b/>
          <w:sz w:val="28"/>
          <w:szCs w:val="28"/>
        </w:rPr>
      </w:pPr>
      <w:r w:rsidRPr="00CB77F8">
        <w:rPr>
          <w:rFonts w:cs="Arial"/>
          <w:b/>
          <w:sz w:val="28"/>
          <w:szCs w:val="28"/>
        </w:rPr>
        <w:t>Název veřejné zakázky</w:t>
      </w:r>
      <w:r w:rsidR="00CB77F8" w:rsidRPr="00CB77F8">
        <w:rPr>
          <w:rFonts w:cs="Arial"/>
          <w:b/>
          <w:sz w:val="28"/>
          <w:szCs w:val="28"/>
        </w:rPr>
        <w:t xml:space="preserve">: </w:t>
      </w:r>
      <w:r w:rsidR="000E3F67">
        <w:rPr>
          <w:rFonts w:cs="Arial"/>
          <w:b/>
          <w:sz w:val="28"/>
          <w:szCs w:val="28"/>
        </w:rPr>
        <w:t>Telemetrie ke KTG</w:t>
      </w:r>
    </w:p>
    <w:p w14:paraId="16B1AE1A" w14:textId="59A4C3B9" w:rsidR="00344E00" w:rsidRPr="00A02FAD" w:rsidRDefault="00CB77F8" w:rsidP="00A02FAD">
      <w:pPr>
        <w:shd w:val="clear" w:color="auto" w:fill="C1EAFF"/>
        <w:spacing w:after="120"/>
        <w:jc w:val="both"/>
        <w:outlineLvl w:val="0"/>
        <w:rPr>
          <w:rFonts w:cs="Arial"/>
          <w:bCs/>
          <w:sz w:val="28"/>
          <w:szCs w:val="28"/>
        </w:rPr>
      </w:pPr>
      <w:r w:rsidRPr="00A02FAD">
        <w:rPr>
          <w:rFonts w:cs="Arial"/>
          <w:bCs/>
          <w:sz w:val="28"/>
          <w:szCs w:val="28"/>
        </w:rPr>
        <w:t xml:space="preserve">Část veřejné zakázky: </w:t>
      </w:r>
      <w:r w:rsidR="002B1855" w:rsidRPr="00A02FAD">
        <w:rPr>
          <w:rFonts w:cs="Arial"/>
          <w:bCs/>
          <w:sz w:val="28"/>
          <w:szCs w:val="28"/>
        </w:rPr>
        <w:t>3</w:t>
      </w:r>
    </w:p>
    <w:p w14:paraId="36FE6E12" w14:textId="77777777" w:rsidR="00344E00" w:rsidRPr="003D3501" w:rsidRDefault="00344E00" w:rsidP="00344E00">
      <w:pPr>
        <w:jc w:val="both"/>
        <w:rPr>
          <w:rFonts w:ascii="Calibri" w:hAnsi="Calibri" w:cs="Arial"/>
          <w:b/>
          <w:bCs/>
        </w:rPr>
      </w:pPr>
    </w:p>
    <w:p w14:paraId="59D1897F" w14:textId="77777777" w:rsidR="00344E00" w:rsidRDefault="00344E00" w:rsidP="00344E00">
      <w:pPr>
        <w:autoSpaceDE w:val="0"/>
        <w:autoSpaceDN w:val="0"/>
        <w:adjustRightInd w:val="0"/>
        <w:spacing w:line="276" w:lineRule="auto"/>
        <w:rPr>
          <w:rFonts w:eastAsia="Calibri" w:cs="Arial"/>
          <w:b/>
          <w:bCs/>
          <w:color w:val="000000"/>
          <w:szCs w:val="20"/>
          <w:lang w:eastAsia="en-US"/>
        </w:rPr>
      </w:pPr>
      <w:r w:rsidRPr="001027CB">
        <w:rPr>
          <w:rFonts w:eastAsia="Calibri" w:cs="Arial"/>
          <w:b/>
          <w:bCs/>
          <w:color w:val="000000"/>
          <w:szCs w:val="20"/>
          <w:lang w:eastAsia="en-US"/>
        </w:rPr>
        <w:t xml:space="preserve">Podrobnosti předmětu veřejné zakázky (technické podmínky) </w:t>
      </w:r>
    </w:p>
    <w:p w14:paraId="5694A8A0" w14:textId="77777777" w:rsidR="00344E00" w:rsidRPr="001027CB" w:rsidRDefault="00344E00" w:rsidP="00344E00">
      <w:pPr>
        <w:autoSpaceDE w:val="0"/>
        <w:autoSpaceDN w:val="0"/>
        <w:adjustRightInd w:val="0"/>
        <w:spacing w:line="276" w:lineRule="auto"/>
        <w:rPr>
          <w:rFonts w:eastAsia="Calibri" w:cs="Arial"/>
          <w:b/>
          <w:bCs/>
          <w:color w:val="000000"/>
          <w:szCs w:val="20"/>
          <w:lang w:eastAsia="en-US"/>
        </w:rPr>
      </w:pPr>
    </w:p>
    <w:p w14:paraId="1530E6D3" w14:textId="77777777" w:rsidR="00A02FAD" w:rsidRDefault="00A02FAD" w:rsidP="00A02FAD">
      <w:pPr>
        <w:rPr>
          <w:szCs w:val="20"/>
        </w:rPr>
      </w:pPr>
      <w:r w:rsidRPr="001027CB">
        <w:rPr>
          <w:szCs w:val="20"/>
        </w:rPr>
        <w:t>Zadavatel požaduje dodávku nových, nepoužitých přístrojů a jejich částí. Nepřipouští možnost dodávky repasovaných přístrojů nebo jejich částí.</w:t>
      </w:r>
    </w:p>
    <w:p w14:paraId="1013D857" w14:textId="77777777" w:rsidR="00A02FAD" w:rsidRPr="001027CB" w:rsidRDefault="00A02FAD" w:rsidP="00A02FAD">
      <w:pPr>
        <w:rPr>
          <w:szCs w:val="20"/>
        </w:rPr>
      </w:pPr>
    </w:p>
    <w:p w14:paraId="645F311C" w14:textId="77777777" w:rsidR="00A02FAD" w:rsidRPr="0058791F" w:rsidRDefault="00A02FAD" w:rsidP="00A02FAD">
      <w:pPr>
        <w:spacing w:after="120" w:line="276" w:lineRule="auto"/>
        <w:jc w:val="both"/>
        <w:rPr>
          <w:rFonts w:cs="Arial"/>
          <w:szCs w:val="20"/>
        </w:rPr>
      </w:pPr>
      <w:bookmarkStart w:id="0" w:name="_Hlk129181204"/>
      <w:r w:rsidRPr="0058791F">
        <w:rPr>
          <w:rFonts w:cs="Arial"/>
          <w:szCs w:val="20"/>
        </w:rPr>
        <w:t>Zadavatel v případech, kdy u parametrů v technické specifikaci není stanoven min./max. rozsah nebo min. či max. hodnota připouští použít pro splnění parametru obecné pravidlo odchylky +/- 10 % od zadaných parametrů. Musí však být dosaženo naplnění požadovaných medicínských výkonů.</w:t>
      </w:r>
    </w:p>
    <w:p w14:paraId="32EBDF28" w14:textId="77777777" w:rsidR="00A02FAD" w:rsidRPr="001027CB" w:rsidRDefault="00A02FAD" w:rsidP="00A02FAD">
      <w:pPr>
        <w:spacing w:line="276" w:lineRule="auto"/>
        <w:jc w:val="both"/>
        <w:rPr>
          <w:szCs w:val="20"/>
        </w:rPr>
      </w:pPr>
      <w:bookmarkStart w:id="1" w:name="_Hlk136261767"/>
      <w:bookmarkEnd w:id="0"/>
      <w:r>
        <w:rPr>
          <w:szCs w:val="20"/>
        </w:rPr>
        <w:t xml:space="preserve">Dodavatel vyplní tabulku níže v pravém sloupci „Splněno ANO / NE“. V úvodu pravého sloupce dodavatel </w:t>
      </w:r>
      <w:r w:rsidRPr="007D27A5">
        <w:rPr>
          <w:b/>
          <w:bCs/>
          <w:szCs w:val="20"/>
        </w:rPr>
        <w:t>vybere ANO nebo NE podle toho, zda nabízený přístroj</w:t>
      </w:r>
      <w:r>
        <w:rPr>
          <w:szCs w:val="20"/>
        </w:rPr>
        <w:t xml:space="preserve"> (zařízení, zboží) </w:t>
      </w:r>
      <w:r w:rsidRPr="007D27A5">
        <w:rPr>
          <w:b/>
          <w:bCs/>
          <w:szCs w:val="20"/>
        </w:rPr>
        <w:t>komplexně splňuje požadavky zadavatele</w:t>
      </w:r>
      <w:r>
        <w:rPr>
          <w:szCs w:val="20"/>
        </w:rPr>
        <w:t xml:space="preserve">. </w:t>
      </w:r>
      <w:r w:rsidRPr="007D27A5">
        <w:rPr>
          <w:color w:val="385623" w:themeColor="accent6" w:themeShade="80"/>
          <w:szCs w:val="20"/>
        </w:rPr>
        <w:t>Také u každého řádku, ve kterém je zadavatelem stanoven a požadován konkrétní parametr</w:t>
      </w:r>
      <w:r>
        <w:rPr>
          <w:color w:val="385623" w:themeColor="accent6" w:themeShade="80"/>
          <w:szCs w:val="20"/>
        </w:rPr>
        <w:t xml:space="preserve"> (pole je žlutě podbarveno)</w:t>
      </w:r>
      <w:r w:rsidRPr="007D27A5">
        <w:rPr>
          <w:color w:val="385623" w:themeColor="accent6" w:themeShade="80"/>
          <w:szCs w:val="20"/>
        </w:rPr>
        <w:t>, dodavatel v</w:t>
      </w:r>
      <w:r>
        <w:rPr>
          <w:color w:val="385623" w:themeColor="accent6" w:themeShade="80"/>
          <w:szCs w:val="20"/>
        </w:rPr>
        <w:t>e sloupci „Konkrétní specifikace / hodnota“ doplní konkrétní nabízený parametr (je-li to možné). Do posledního sloupce „Kde je uvedeno v nabídce (např. strana v katalogu)“ uvede dodavatel příslušný odkaz, kde v nabídce si zadavatel může ověřit požadovaný parametr.</w:t>
      </w:r>
    </w:p>
    <w:bookmarkEnd w:id="1"/>
    <w:p w14:paraId="1DDCCF29" w14:textId="77777777" w:rsidR="00A02FAD" w:rsidRDefault="00A02FAD" w:rsidP="00A02FAD">
      <w:pPr>
        <w:spacing w:line="276" w:lineRule="auto"/>
        <w:jc w:val="both"/>
        <w:rPr>
          <w:szCs w:val="20"/>
        </w:rPr>
      </w:pPr>
      <w:r w:rsidRPr="00344E00">
        <w:rPr>
          <w:szCs w:val="20"/>
        </w:rPr>
        <w:t>Pokud v této části tabulky uvede dodavatel v pravém sloupci „NE“, bude vyloučen ze zadávacího řízení. Jedná o požadavek zadavatele absolutní a musí být splněn. To platí i v případě, pokud některý parametr nebude vyhovovat nebo nebude objasněn.</w:t>
      </w:r>
    </w:p>
    <w:p w14:paraId="2111CEDB" w14:textId="77777777" w:rsidR="006E7CA3" w:rsidRPr="00344E00" w:rsidRDefault="006E7CA3" w:rsidP="00344E00">
      <w:pPr>
        <w:spacing w:line="276" w:lineRule="auto"/>
        <w:jc w:val="both"/>
        <w:rPr>
          <w:szCs w:val="20"/>
        </w:rPr>
      </w:pPr>
    </w:p>
    <w:p w14:paraId="1FB60276" w14:textId="58F05E3D" w:rsidR="00344E00" w:rsidRDefault="006E7CA3" w:rsidP="006E7CA3">
      <w:pPr>
        <w:jc w:val="both"/>
        <w:rPr>
          <w:i/>
          <w:iCs/>
        </w:rPr>
      </w:pPr>
      <w:r w:rsidRPr="006E11A2">
        <w:rPr>
          <w:b/>
          <w:bCs/>
          <w:i/>
          <w:iCs/>
          <w:color w:val="FF0000"/>
        </w:rPr>
        <w:t>**</w:t>
      </w:r>
      <w:r w:rsidRPr="006E11A2">
        <w:rPr>
          <w:b/>
          <w:bCs/>
          <w:i/>
          <w:iCs/>
        </w:rPr>
        <w:t xml:space="preserve"> </w:t>
      </w:r>
      <w:r w:rsidRPr="006E7CA3">
        <w:rPr>
          <w:i/>
          <w:iCs/>
        </w:rPr>
        <w:t xml:space="preserve">Předmětem požadavku zadavatele je dovybavení stávajících </w:t>
      </w:r>
      <w:proofErr w:type="spellStart"/>
      <w:r w:rsidRPr="006E7CA3">
        <w:rPr>
          <w:i/>
          <w:iCs/>
        </w:rPr>
        <w:t>kardiotokografů</w:t>
      </w:r>
      <w:proofErr w:type="spellEnd"/>
      <w:r w:rsidRPr="006E7CA3">
        <w:rPr>
          <w:i/>
          <w:iCs/>
        </w:rPr>
        <w:t xml:space="preserve"> na pracovišti o telemetrickou jednotku, která musí splňovat minimální technické parametry, zvláště pak požadavek na kompatibilitu.</w:t>
      </w:r>
    </w:p>
    <w:p w14:paraId="0DEFB135" w14:textId="623FE7A6" w:rsidR="006E7CA3" w:rsidRPr="006E7CA3" w:rsidRDefault="006E7CA3" w:rsidP="006E7CA3">
      <w:pPr>
        <w:jc w:val="both"/>
        <w:rPr>
          <w:i/>
          <w:iCs/>
        </w:rPr>
      </w:pPr>
      <w:r>
        <w:rPr>
          <w:i/>
          <w:iCs/>
        </w:rPr>
        <w:t xml:space="preserve">Kompatibilita bude považována za splněnou dodáním telemetrické jednotky, která bude plně kompatibilní s již používanými </w:t>
      </w:r>
      <w:proofErr w:type="spellStart"/>
      <w:r>
        <w:rPr>
          <w:i/>
          <w:iCs/>
        </w:rPr>
        <w:t>kardiotokografy</w:t>
      </w:r>
      <w:proofErr w:type="spellEnd"/>
      <w:r>
        <w:rPr>
          <w:i/>
          <w:iCs/>
        </w:rPr>
        <w:t xml:space="preserve"> (dále jen „KTG“) na pracovišti. Pracoviště disponuje KTG řady </w:t>
      </w:r>
      <w:proofErr w:type="spellStart"/>
      <w:r>
        <w:rPr>
          <w:i/>
          <w:iCs/>
        </w:rPr>
        <w:t>Avalon</w:t>
      </w:r>
      <w:proofErr w:type="spellEnd"/>
      <w:r>
        <w:rPr>
          <w:i/>
          <w:iCs/>
        </w:rPr>
        <w:t xml:space="preserve"> (</w:t>
      </w:r>
      <w:proofErr w:type="spellStart"/>
      <w:r>
        <w:rPr>
          <w:i/>
          <w:iCs/>
        </w:rPr>
        <w:t>Avalon</w:t>
      </w:r>
      <w:proofErr w:type="spellEnd"/>
      <w:r>
        <w:rPr>
          <w:i/>
          <w:iCs/>
        </w:rPr>
        <w:t xml:space="preserve"> FM 30), výrobce Philips.</w:t>
      </w:r>
      <w:r w:rsidR="006E11A2">
        <w:rPr>
          <w:i/>
          <w:iCs/>
        </w:rPr>
        <w:t xml:space="preserve"> Pokud zájemce není schopen kompatibilitu zajisti přímo, je možno splnit tento požadavek dodáním kompletní sestavy KTG včetně telemetrické jednotky pro pracoviště Oblastní nemocnice Náchod a.s., nemocnice Rychnov nad Kněžnou (stejných technických parametrů nebo lepších technických parametrů jako jsou nyní používané, tzn. </w:t>
      </w:r>
      <w:proofErr w:type="spellStart"/>
      <w:r w:rsidR="006E11A2">
        <w:rPr>
          <w:i/>
          <w:iCs/>
        </w:rPr>
        <w:t>Avalon</w:t>
      </w:r>
      <w:proofErr w:type="spellEnd"/>
      <w:r w:rsidR="006E11A2">
        <w:rPr>
          <w:i/>
          <w:iCs/>
        </w:rPr>
        <w:t xml:space="preserve"> FM 30).</w:t>
      </w:r>
    </w:p>
    <w:p w14:paraId="7B1F3F47" w14:textId="77777777" w:rsidR="006E7CA3" w:rsidRDefault="006E7CA3"/>
    <w:p w14:paraId="2F522110" w14:textId="77777777" w:rsidR="006E7CA3" w:rsidRDefault="006E7CA3"/>
    <w:p w14:paraId="5484E59D" w14:textId="77777777" w:rsidR="007321ED" w:rsidRDefault="007321ED" w:rsidP="007321ED">
      <w:pPr>
        <w:jc w:val="both"/>
        <w:rPr>
          <w:b/>
          <w:bCs/>
          <w:sz w:val="22"/>
          <w:szCs w:val="22"/>
        </w:rPr>
      </w:pPr>
      <w:r w:rsidRPr="003D3501">
        <w:rPr>
          <w:b/>
          <w:bCs/>
          <w:sz w:val="22"/>
          <w:szCs w:val="22"/>
        </w:rPr>
        <w:t>Technická specifikace</w:t>
      </w:r>
    </w:p>
    <w:p w14:paraId="09698C8F" w14:textId="77777777" w:rsidR="007321ED" w:rsidRPr="005237DA" w:rsidRDefault="007321ED" w:rsidP="007321ED">
      <w:pPr>
        <w:jc w:val="right"/>
        <w:rPr>
          <w:b/>
          <w:bCs/>
          <w:i/>
          <w:iCs/>
          <w:color w:val="FF0000"/>
          <w:sz w:val="22"/>
          <w:szCs w:val="22"/>
        </w:rPr>
      </w:pPr>
      <w:r w:rsidRPr="005237DA">
        <w:rPr>
          <w:b/>
          <w:bCs/>
          <w:i/>
          <w:iCs/>
          <w:color w:val="FF0000"/>
          <w:sz w:val="22"/>
          <w:szCs w:val="22"/>
          <w:highlight w:val="yellow"/>
        </w:rPr>
        <w:t>Dodavatel vyplní zvýrazněná pole</w:t>
      </w:r>
    </w:p>
    <w:tbl>
      <w:tblPr>
        <w:tblW w:w="9730" w:type="dxa"/>
        <w:tblCellMar>
          <w:left w:w="70" w:type="dxa"/>
          <w:right w:w="70" w:type="dxa"/>
        </w:tblCellMar>
        <w:tblLook w:val="0000" w:firstRow="0" w:lastRow="0" w:firstColumn="0" w:lastColumn="0" w:noHBand="0" w:noVBand="0"/>
      </w:tblPr>
      <w:tblGrid>
        <w:gridCol w:w="4865"/>
        <w:gridCol w:w="4865"/>
      </w:tblGrid>
      <w:tr w:rsidR="007321ED" w14:paraId="4B031783" w14:textId="77777777" w:rsidTr="00A02FAD">
        <w:trPr>
          <w:trHeight w:val="567"/>
        </w:trPr>
        <w:tc>
          <w:tcPr>
            <w:tcW w:w="9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1F93B" w14:textId="76D002EB" w:rsidR="00B87382" w:rsidRPr="000E3F67" w:rsidRDefault="000E3F67" w:rsidP="000E3F67">
            <w:pPr>
              <w:rPr>
                <w:b/>
                <w:bCs/>
                <w:sz w:val="22"/>
                <w:szCs w:val="22"/>
              </w:rPr>
            </w:pPr>
            <w:bookmarkStart w:id="2" w:name="_Hlk132275107"/>
            <w:r>
              <w:rPr>
                <w:b/>
                <w:bCs/>
                <w:sz w:val="22"/>
                <w:szCs w:val="22"/>
              </w:rPr>
              <w:t xml:space="preserve">Telemetrická jednotka ke </w:t>
            </w:r>
            <w:proofErr w:type="spellStart"/>
            <w:r>
              <w:rPr>
                <w:b/>
                <w:bCs/>
                <w:sz w:val="22"/>
                <w:szCs w:val="22"/>
              </w:rPr>
              <w:t>kardiotokografu</w:t>
            </w:r>
            <w:proofErr w:type="spellEnd"/>
          </w:p>
        </w:tc>
      </w:tr>
      <w:tr w:rsidR="007321ED" w14:paraId="0D1BF307" w14:textId="77777777" w:rsidTr="00A02FAD">
        <w:trPr>
          <w:trHeight w:hRule="exact" w:val="396"/>
        </w:trPr>
        <w:tc>
          <w:tcPr>
            <w:tcW w:w="48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D694" w14:textId="77777777" w:rsidR="007321ED" w:rsidRDefault="007321ED" w:rsidP="00CC3DCA">
            <w:pPr>
              <w:rPr>
                <w:b/>
                <w:bCs/>
              </w:rPr>
            </w:pPr>
            <w:r>
              <w:rPr>
                <w:b/>
                <w:bCs/>
              </w:rPr>
              <w:t>Výrobce</w:t>
            </w:r>
          </w:p>
        </w:tc>
        <w:tc>
          <w:tcPr>
            <w:tcW w:w="4865"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E99CB60" w14:textId="77777777" w:rsidR="007321ED" w:rsidRDefault="007321ED" w:rsidP="00CC3DCA">
            <w:pPr>
              <w:rPr>
                <w:b/>
                <w:bCs/>
              </w:rPr>
            </w:pPr>
          </w:p>
        </w:tc>
      </w:tr>
      <w:tr w:rsidR="007321ED" w14:paraId="01A0C6A8" w14:textId="77777777" w:rsidTr="00A02FAD">
        <w:trPr>
          <w:trHeight w:hRule="exact" w:val="430"/>
        </w:trPr>
        <w:tc>
          <w:tcPr>
            <w:tcW w:w="48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6FC28" w14:textId="77777777" w:rsidR="007321ED" w:rsidRDefault="007321ED" w:rsidP="00CC3DCA">
            <w:pPr>
              <w:rPr>
                <w:b/>
                <w:bCs/>
              </w:rPr>
            </w:pPr>
            <w:r>
              <w:rPr>
                <w:b/>
                <w:bCs/>
              </w:rPr>
              <w:t>Typ / Model</w:t>
            </w:r>
          </w:p>
        </w:tc>
        <w:tc>
          <w:tcPr>
            <w:tcW w:w="4865"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2444F3E" w14:textId="77777777" w:rsidR="007321ED" w:rsidRDefault="007321ED" w:rsidP="00CC3DCA">
            <w:pPr>
              <w:rPr>
                <w:b/>
                <w:bCs/>
              </w:rPr>
            </w:pPr>
          </w:p>
        </w:tc>
      </w:tr>
      <w:tr w:rsidR="007321ED" w14:paraId="04BF46B4" w14:textId="77777777" w:rsidTr="00A02FAD">
        <w:trPr>
          <w:trHeight w:hRule="exact" w:val="422"/>
        </w:trPr>
        <w:tc>
          <w:tcPr>
            <w:tcW w:w="48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1D94D" w14:textId="77777777" w:rsidR="007321ED" w:rsidRDefault="007321ED" w:rsidP="00CC3DCA">
            <w:pPr>
              <w:rPr>
                <w:b/>
                <w:bCs/>
              </w:rPr>
            </w:pPr>
            <w:r>
              <w:rPr>
                <w:b/>
                <w:bCs/>
              </w:rPr>
              <w:t>Záruka v měsících (min. 24 měsíců)</w:t>
            </w:r>
          </w:p>
        </w:tc>
        <w:tc>
          <w:tcPr>
            <w:tcW w:w="4865"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C2A1047" w14:textId="77777777" w:rsidR="007321ED" w:rsidRDefault="007321ED" w:rsidP="00CC3DCA">
            <w:pPr>
              <w:rPr>
                <w:b/>
                <w:bCs/>
              </w:rPr>
            </w:pPr>
          </w:p>
        </w:tc>
      </w:tr>
      <w:tr w:rsidR="007321ED" w14:paraId="3D2689F4" w14:textId="77777777" w:rsidTr="00A02FAD">
        <w:trPr>
          <w:trHeight w:hRule="exact" w:val="428"/>
        </w:trPr>
        <w:tc>
          <w:tcPr>
            <w:tcW w:w="48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82D86" w14:textId="77777777" w:rsidR="007321ED" w:rsidRDefault="007321ED" w:rsidP="00CC3DCA">
            <w:pPr>
              <w:rPr>
                <w:b/>
                <w:bCs/>
              </w:rPr>
            </w:pPr>
            <w:r>
              <w:rPr>
                <w:b/>
                <w:bCs/>
              </w:rPr>
              <w:t>Počet ks</w:t>
            </w:r>
          </w:p>
        </w:tc>
        <w:tc>
          <w:tcPr>
            <w:tcW w:w="48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481F" w14:textId="35518930" w:rsidR="007321ED" w:rsidRDefault="000E3F67" w:rsidP="00CC3DCA">
            <w:pPr>
              <w:jc w:val="center"/>
              <w:rPr>
                <w:b/>
                <w:bCs/>
              </w:rPr>
            </w:pPr>
            <w:r>
              <w:rPr>
                <w:b/>
                <w:bCs/>
              </w:rPr>
              <w:t>1</w:t>
            </w:r>
          </w:p>
        </w:tc>
      </w:tr>
      <w:tr w:rsidR="007321ED" w14:paraId="29F2F03C" w14:textId="77777777" w:rsidTr="00A02FAD">
        <w:trPr>
          <w:trHeight w:hRule="exact" w:val="419"/>
        </w:trPr>
        <w:tc>
          <w:tcPr>
            <w:tcW w:w="48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346E" w14:textId="21FF6998" w:rsidR="007321ED" w:rsidRDefault="007321ED" w:rsidP="00CC3DCA">
            <w:pPr>
              <w:rPr>
                <w:b/>
                <w:bCs/>
              </w:rPr>
            </w:pPr>
            <w:r>
              <w:rPr>
                <w:rFonts w:ascii="Calibri" w:hAnsi="Calibri" w:cs="Calibri"/>
                <w:color w:val="000000"/>
                <w:sz w:val="22"/>
                <w:szCs w:val="22"/>
              </w:rPr>
              <w:lastRenderedPageBreak/>
              <w:t>Cena v Kč bez DPH za 1 kus</w:t>
            </w:r>
          </w:p>
        </w:tc>
        <w:tc>
          <w:tcPr>
            <w:tcW w:w="4865"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FF30AD1" w14:textId="77777777" w:rsidR="007321ED" w:rsidRPr="005237DA" w:rsidRDefault="007321ED" w:rsidP="00CC3DCA">
            <w:pPr>
              <w:jc w:val="right"/>
              <w:rPr>
                <w:b/>
                <w:bCs/>
              </w:rPr>
            </w:pPr>
          </w:p>
        </w:tc>
      </w:tr>
      <w:tr w:rsidR="007321ED" w14:paraId="7C9EE797" w14:textId="77777777" w:rsidTr="00A02FAD">
        <w:trPr>
          <w:trHeight w:hRule="exact" w:val="426"/>
        </w:trPr>
        <w:tc>
          <w:tcPr>
            <w:tcW w:w="48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6EE75" w14:textId="6E4EEE83" w:rsidR="007321ED" w:rsidRDefault="007321ED" w:rsidP="00CC3DCA">
            <w:pPr>
              <w:rPr>
                <w:b/>
                <w:bCs/>
              </w:rPr>
            </w:pPr>
            <w:r>
              <w:rPr>
                <w:rFonts w:ascii="Calibri" w:hAnsi="Calibri" w:cs="Calibri"/>
                <w:color w:val="000000"/>
                <w:sz w:val="22"/>
                <w:szCs w:val="22"/>
              </w:rPr>
              <w:t>Cena v Kč bez DPH celkem za počet kusů</w:t>
            </w:r>
          </w:p>
        </w:tc>
        <w:tc>
          <w:tcPr>
            <w:tcW w:w="4865"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0726F558" w14:textId="77777777" w:rsidR="007321ED" w:rsidRPr="005237DA" w:rsidRDefault="007321ED" w:rsidP="00CC3DCA">
            <w:pPr>
              <w:jc w:val="right"/>
              <w:rPr>
                <w:b/>
                <w:bCs/>
              </w:rPr>
            </w:pPr>
          </w:p>
        </w:tc>
      </w:tr>
      <w:tr w:rsidR="007321ED" w14:paraId="143BEA6C" w14:textId="77777777" w:rsidTr="00A02FAD">
        <w:trPr>
          <w:trHeight w:hRule="exact" w:val="432"/>
        </w:trPr>
        <w:tc>
          <w:tcPr>
            <w:tcW w:w="48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775A7" w14:textId="299D5598" w:rsidR="007321ED" w:rsidRDefault="007321ED" w:rsidP="00CC3DCA">
            <w:pPr>
              <w:rPr>
                <w:b/>
                <w:bCs/>
              </w:rPr>
            </w:pPr>
            <w:r>
              <w:rPr>
                <w:rFonts w:ascii="Calibri" w:hAnsi="Calibri" w:cs="Calibri"/>
                <w:color w:val="000000"/>
                <w:sz w:val="22"/>
                <w:szCs w:val="22"/>
              </w:rPr>
              <w:t>DPH v Kč celkem samostatně</w:t>
            </w:r>
          </w:p>
        </w:tc>
        <w:tc>
          <w:tcPr>
            <w:tcW w:w="4865"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FD973CA" w14:textId="77777777" w:rsidR="007321ED" w:rsidRPr="005237DA" w:rsidRDefault="007321ED" w:rsidP="00CC3DCA">
            <w:pPr>
              <w:jc w:val="right"/>
              <w:rPr>
                <w:b/>
                <w:bCs/>
              </w:rPr>
            </w:pPr>
          </w:p>
        </w:tc>
      </w:tr>
      <w:tr w:rsidR="007321ED" w14:paraId="2CE1CE12" w14:textId="77777777" w:rsidTr="00A02FAD">
        <w:trPr>
          <w:trHeight w:hRule="exact" w:val="410"/>
        </w:trPr>
        <w:tc>
          <w:tcPr>
            <w:tcW w:w="48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CE323" w14:textId="41D0013B" w:rsidR="007321ED" w:rsidRDefault="007321ED" w:rsidP="00CC3DCA">
            <w:pPr>
              <w:rPr>
                <w:b/>
                <w:bCs/>
              </w:rPr>
            </w:pPr>
            <w:r>
              <w:rPr>
                <w:rFonts w:ascii="Calibri" w:hAnsi="Calibri" w:cs="Calibri"/>
                <w:color w:val="000000"/>
                <w:sz w:val="22"/>
                <w:szCs w:val="22"/>
              </w:rPr>
              <w:t>Cena v Kč včetně DPH celkem</w:t>
            </w:r>
          </w:p>
        </w:tc>
        <w:tc>
          <w:tcPr>
            <w:tcW w:w="4865"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2C28E81" w14:textId="77777777" w:rsidR="007321ED" w:rsidRPr="005237DA" w:rsidRDefault="007321ED" w:rsidP="00CC3DCA">
            <w:pPr>
              <w:jc w:val="right"/>
              <w:rPr>
                <w:b/>
                <w:bCs/>
              </w:rPr>
            </w:pPr>
          </w:p>
        </w:tc>
      </w:tr>
    </w:tbl>
    <w:tbl>
      <w:tblPr>
        <w:tblStyle w:val="Mkatabulky"/>
        <w:tblW w:w="9776" w:type="dxa"/>
        <w:tblLook w:val="04A0" w:firstRow="1" w:lastRow="0" w:firstColumn="1" w:lastColumn="0" w:noHBand="0" w:noVBand="1"/>
      </w:tblPr>
      <w:tblGrid>
        <w:gridCol w:w="9776"/>
      </w:tblGrid>
      <w:tr w:rsidR="00331E61" w14:paraId="60475440" w14:textId="77777777" w:rsidTr="007321ED">
        <w:trPr>
          <w:trHeight w:val="658"/>
        </w:trPr>
        <w:tc>
          <w:tcPr>
            <w:tcW w:w="9776" w:type="dxa"/>
            <w:shd w:val="clear" w:color="auto" w:fill="F7CAAC" w:themeFill="accent2" w:themeFillTint="66"/>
            <w:vAlign w:val="center"/>
          </w:tcPr>
          <w:p w14:paraId="6A086CEB" w14:textId="6BF9744B" w:rsidR="00331E61" w:rsidRPr="000E3F67" w:rsidRDefault="00A02FAD" w:rsidP="007321ED">
            <w:pPr>
              <w:jc w:val="center"/>
              <w:rPr>
                <w:b/>
                <w:bCs/>
                <w:szCs w:val="20"/>
                <w:u w:val="single"/>
              </w:rPr>
            </w:pPr>
            <w:r>
              <w:rPr>
                <w:b/>
                <w:bCs/>
                <w:sz w:val="22"/>
                <w:szCs w:val="22"/>
              </w:rPr>
              <w:tab/>
            </w:r>
            <w:r w:rsidR="000E3F67" w:rsidRPr="000E3F67">
              <w:rPr>
                <w:b/>
                <w:bCs/>
                <w:szCs w:val="20"/>
                <w:u w:val="single"/>
              </w:rPr>
              <w:t>Základní vlastnosti přístroje</w:t>
            </w:r>
          </w:p>
        </w:tc>
      </w:tr>
    </w:tbl>
    <w:tbl>
      <w:tblPr>
        <w:tblW w:w="9776" w:type="dxa"/>
        <w:tblCellMar>
          <w:left w:w="70" w:type="dxa"/>
          <w:right w:w="70" w:type="dxa"/>
        </w:tblCellMar>
        <w:tblLook w:val="0000" w:firstRow="0" w:lastRow="0" w:firstColumn="0" w:lastColumn="0" w:noHBand="0" w:noVBand="0"/>
      </w:tblPr>
      <w:tblGrid>
        <w:gridCol w:w="4106"/>
        <w:gridCol w:w="1134"/>
        <w:gridCol w:w="2268"/>
        <w:gridCol w:w="2268"/>
      </w:tblGrid>
      <w:tr w:rsidR="00124470" w14:paraId="0FD5F164" w14:textId="7C91EF35" w:rsidTr="007321ED">
        <w:trPr>
          <w:trHeight w:val="340"/>
        </w:trPr>
        <w:tc>
          <w:tcPr>
            <w:tcW w:w="4106" w:type="dxa"/>
            <w:tcBorders>
              <w:top w:val="single" w:sz="4" w:space="0" w:color="000000"/>
              <w:left w:val="single" w:sz="4" w:space="0" w:color="000000"/>
              <w:bottom w:val="single" w:sz="4" w:space="0" w:color="000000"/>
            </w:tcBorders>
            <w:shd w:val="clear" w:color="auto" w:fill="9CC2E5"/>
            <w:vAlign w:val="center"/>
          </w:tcPr>
          <w:p w14:paraId="7FE25DBD" w14:textId="7E6A3DAF" w:rsidR="00124470" w:rsidRDefault="00035745" w:rsidP="00BD21AF">
            <w:r>
              <w:rPr>
                <w:b/>
              </w:rPr>
              <w:t>S</w:t>
            </w:r>
            <w:r w:rsidR="00124470">
              <w:rPr>
                <w:b/>
              </w:rPr>
              <w:t>pecifikace</w:t>
            </w:r>
          </w:p>
        </w:tc>
        <w:tc>
          <w:tcPr>
            <w:tcW w:w="1134" w:type="dxa"/>
            <w:tcBorders>
              <w:top w:val="single" w:sz="4" w:space="0" w:color="000000"/>
              <w:left w:val="single" w:sz="4" w:space="0" w:color="000000"/>
              <w:bottom w:val="single" w:sz="4" w:space="0" w:color="000000"/>
            </w:tcBorders>
            <w:shd w:val="clear" w:color="auto" w:fill="9CC2E5"/>
            <w:vAlign w:val="center"/>
          </w:tcPr>
          <w:p w14:paraId="6F857831" w14:textId="77777777" w:rsidR="00124470" w:rsidRDefault="00124470" w:rsidP="00124470">
            <w:pPr>
              <w:jc w:val="center"/>
              <w:rPr>
                <w:b/>
              </w:rPr>
            </w:pPr>
            <w:r>
              <w:rPr>
                <w:b/>
              </w:rPr>
              <w:t xml:space="preserve">Splněno </w:t>
            </w:r>
          </w:p>
          <w:p w14:paraId="2A3312CD" w14:textId="6E60E729" w:rsidR="00124470" w:rsidRDefault="00124470" w:rsidP="00124470">
            <w:pPr>
              <w:jc w:val="center"/>
            </w:pPr>
            <w:r>
              <w:rPr>
                <w:b/>
              </w:rPr>
              <w:t>ANO / NE</w:t>
            </w:r>
          </w:p>
        </w:tc>
        <w:tc>
          <w:tcPr>
            <w:tcW w:w="2268"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6E50AD26" w14:textId="77777777" w:rsidR="007321ED" w:rsidRDefault="007321ED" w:rsidP="007321ED">
            <w:pPr>
              <w:jc w:val="center"/>
              <w:rPr>
                <w:b/>
                <w:bCs/>
              </w:rPr>
            </w:pPr>
            <w:r w:rsidRPr="00283BD1">
              <w:rPr>
                <w:b/>
                <w:bCs/>
              </w:rPr>
              <w:t>Konkrétn</w:t>
            </w:r>
            <w:r>
              <w:rPr>
                <w:b/>
                <w:bCs/>
              </w:rPr>
              <w:t>í</w:t>
            </w:r>
          </w:p>
          <w:p w14:paraId="314A70CB" w14:textId="280F6DF0" w:rsidR="00124470" w:rsidRDefault="007321ED" w:rsidP="007321ED">
            <w:pPr>
              <w:jc w:val="center"/>
            </w:pPr>
            <w:r w:rsidRPr="00283BD1">
              <w:rPr>
                <w:b/>
                <w:bCs/>
              </w:rPr>
              <w:t>specifikace / hodnota</w:t>
            </w:r>
          </w:p>
        </w:tc>
        <w:tc>
          <w:tcPr>
            <w:tcW w:w="2268" w:type="dxa"/>
            <w:tcBorders>
              <w:top w:val="single" w:sz="4" w:space="0" w:color="000000"/>
              <w:left w:val="single" w:sz="4" w:space="0" w:color="000000"/>
              <w:bottom w:val="single" w:sz="4" w:space="0" w:color="000000"/>
              <w:right w:val="single" w:sz="4" w:space="0" w:color="000000"/>
            </w:tcBorders>
            <w:shd w:val="clear" w:color="auto" w:fill="9CC2E5"/>
          </w:tcPr>
          <w:p w14:paraId="0592C489" w14:textId="6B500E6E" w:rsidR="00124470" w:rsidRDefault="00124470" w:rsidP="00BD21AF">
            <w:pPr>
              <w:jc w:val="center"/>
              <w:rPr>
                <w:b/>
              </w:rPr>
            </w:pPr>
            <w:r>
              <w:rPr>
                <w:b/>
              </w:rPr>
              <w:t>Kde je uvedeno v nabídce (např. strana v katalogu)</w:t>
            </w:r>
          </w:p>
        </w:tc>
      </w:tr>
      <w:tr w:rsidR="002B1523" w14:paraId="3559D611" w14:textId="5C2A29EE" w:rsidTr="001C5D95">
        <w:trPr>
          <w:trHeight w:val="502"/>
        </w:trPr>
        <w:tc>
          <w:tcPr>
            <w:tcW w:w="4106" w:type="dxa"/>
            <w:tcBorders>
              <w:top w:val="single" w:sz="4" w:space="0" w:color="000000"/>
              <w:left w:val="single" w:sz="4" w:space="0" w:color="000000"/>
              <w:bottom w:val="single" w:sz="4" w:space="0" w:color="000000"/>
            </w:tcBorders>
            <w:shd w:val="clear" w:color="auto" w:fill="auto"/>
            <w:vAlign w:val="center"/>
          </w:tcPr>
          <w:p w14:paraId="3F45944C" w14:textId="0DFEB9F8" w:rsidR="002B1523" w:rsidRPr="00497E78" w:rsidRDefault="000E3F67" w:rsidP="00497E78">
            <w:r>
              <w:t xml:space="preserve">Bezdrátová monitorovací </w:t>
            </w:r>
            <w:proofErr w:type="spellStart"/>
            <w:r>
              <w:t>kardiotokografická</w:t>
            </w:r>
            <w:proofErr w:type="spellEnd"/>
            <w:r>
              <w:t xml:space="preserve"> jednotka připojitelná ke KTG řady </w:t>
            </w:r>
            <w:proofErr w:type="spellStart"/>
            <w:r>
              <w:t>Avalon</w:t>
            </w:r>
            <w:proofErr w:type="spellEnd"/>
            <w:r>
              <w:t xml:space="preserve">, výrobce Philips. Vzájemná </w:t>
            </w:r>
            <w:r w:rsidRPr="006E7CA3">
              <w:t>komunikační kompatibilita s</w:t>
            </w:r>
            <w:r w:rsidR="006E7CA3" w:rsidRPr="006E7CA3">
              <w:t> </w:t>
            </w:r>
            <w:r w:rsidRPr="006E7CA3">
              <w:t>KTG</w:t>
            </w:r>
            <w:r w:rsidR="006E7CA3" w:rsidRPr="006E7CA3">
              <w:t xml:space="preserve"> řady </w:t>
            </w:r>
            <w:proofErr w:type="spellStart"/>
            <w:proofErr w:type="gramStart"/>
            <w:r w:rsidR="006E7CA3" w:rsidRPr="006E7CA3">
              <w:t>Avalon</w:t>
            </w:r>
            <w:proofErr w:type="spellEnd"/>
            <w:r w:rsidRPr="006E7CA3">
              <w:t>.</w:t>
            </w:r>
            <w:r w:rsidR="006E7CA3" w:rsidRPr="006E11A2">
              <w:rPr>
                <w:b/>
                <w:bCs/>
                <w:color w:val="FF0000"/>
              </w:rPr>
              <w:t>*</w:t>
            </w:r>
            <w:proofErr w:type="gramEnd"/>
            <w:r w:rsidR="006E7CA3" w:rsidRPr="006E11A2">
              <w:rPr>
                <w:b/>
                <w:bCs/>
                <w:color w:val="FF0000"/>
              </w:rPr>
              <w:t>*</w:t>
            </w:r>
          </w:p>
        </w:tc>
        <w:tc>
          <w:tcPr>
            <w:tcW w:w="1134" w:type="dxa"/>
            <w:tcBorders>
              <w:top w:val="single" w:sz="4" w:space="0" w:color="000000"/>
              <w:left w:val="single" w:sz="4" w:space="0" w:color="000000"/>
              <w:bottom w:val="single" w:sz="4" w:space="0" w:color="000000"/>
            </w:tcBorders>
            <w:shd w:val="clear" w:color="auto" w:fill="FFFF00"/>
            <w:vAlign w:val="center"/>
          </w:tcPr>
          <w:p w14:paraId="6B56EF04" w14:textId="7F59C7B0" w:rsidR="002B1523" w:rsidRDefault="002B1523" w:rsidP="007321ED">
            <w:pPr>
              <w:jc w:val="center"/>
            </w:pP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1C4A44" w14:textId="63BA5B9F" w:rsidR="002B1523" w:rsidRDefault="002B1523" w:rsidP="002B1523">
            <w:pPr>
              <w:jc w:val="center"/>
            </w:pPr>
          </w:p>
        </w:tc>
        <w:tc>
          <w:tcPr>
            <w:tcW w:w="2268" w:type="dxa"/>
            <w:tcBorders>
              <w:top w:val="single" w:sz="4" w:space="0" w:color="000000"/>
              <w:left w:val="single" w:sz="4" w:space="0" w:color="000000"/>
              <w:bottom w:val="single" w:sz="4" w:space="0" w:color="000000"/>
              <w:right w:val="single" w:sz="4" w:space="0" w:color="000000"/>
            </w:tcBorders>
            <w:shd w:val="clear" w:color="auto" w:fill="FFFF00"/>
          </w:tcPr>
          <w:p w14:paraId="0CC62279" w14:textId="77777777" w:rsidR="002B1523" w:rsidRDefault="002B1523" w:rsidP="002B1523">
            <w:pPr>
              <w:jc w:val="center"/>
              <w:rPr>
                <w:color w:val="FF0000"/>
              </w:rPr>
            </w:pPr>
          </w:p>
          <w:p w14:paraId="5897681A" w14:textId="77777777" w:rsidR="00A02FAD" w:rsidRPr="00A02FAD" w:rsidRDefault="00A02FAD" w:rsidP="00A02FAD">
            <w:pPr>
              <w:jc w:val="center"/>
            </w:pPr>
          </w:p>
        </w:tc>
      </w:tr>
      <w:tr w:rsidR="00331E61" w14:paraId="765AE9D3" w14:textId="438182B7" w:rsidTr="001C5D95">
        <w:trPr>
          <w:trHeight w:val="675"/>
        </w:trPr>
        <w:tc>
          <w:tcPr>
            <w:tcW w:w="4106" w:type="dxa"/>
            <w:tcBorders>
              <w:top w:val="single" w:sz="4" w:space="0" w:color="000000"/>
              <w:left w:val="single" w:sz="4" w:space="0" w:color="000000"/>
              <w:bottom w:val="single" w:sz="4" w:space="0" w:color="000000"/>
            </w:tcBorders>
            <w:shd w:val="clear" w:color="auto" w:fill="auto"/>
          </w:tcPr>
          <w:p w14:paraId="1542D951" w14:textId="5468F543" w:rsidR="00331E61" w:rsidRPr="006E7CA3" w:rsidRDefault="000E3F67" w:rsidP="00331E61">
            <w:pPr>
              <w:spacing w:line="276" w:lineRule="auto"/>
              <w:rPr>
                <w:rFonts w:cs="Arial"/>
                <w:szCs w:val="20"/>
              </w:rPr>
            </w:pPr>
            <w:r w:rsidRPr="006E7CA3">
              <w:rPr>
                <w:rFonts w:cs="Arial"/>
                <w:szCs w:val="20"/>
              </w:rPr>
              <w:t>Externí i interní monitorování plodu.</w:t>
            </w:r>
          </w:p>
        </w:tc>
        <w:tc>
          <w:tcPr>
            <w:tcW w:w="1134" w:type="dxa"/>
            <w:tcBorders>
              <w:top w:val="single" w:sz="4" w:space="0" w:color="000000"/>
              <w:left w:val="single" w:sz="4" w:space="0" w:color="000000"/>
              <w:bottom w:val="single" w:sz="4" w:space="0" w:color="000000"/>
            </w:tcBorders>
            <w:shd w:val="clear" w:color="auto" w:fill="FFFF00"/>
            <w:vAlign w:val="center"/>
          </w:tcPr>
          <w:p w14:paraId="4097B1AC" w14:textId="0D228BC2" w:rsidR="00331E61" w:rsidRPr="002E2597" w:rsidRDefault="00331E61" w:rsidP="007321ED">
            <w:pPr>
              <w:rPr>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87E4A2" w14:textId="324E9E7A" w:rsidR="00331E61" w:rsidRDefault="00331E61" w:rsidP="00331E61">
            <w:pPr>
              <w:jc w:val="center"/>
            </w:pPr>
          </w:p>
        </w:tc>
        <w:tc>
          <w:tcPr>
            <w:tcW w:w="2268" w:type="dxa"/>
            <w:tcBorders>
              <w:top w:val="single" w:sz="4" w:space="0" w:color="000000"/>
              <w:left w:val="single" w:sz="4" w:space="0" w:color="000000"/>
              <w:bottom w:val="single" w:sz="4" w:space="0" w:color="000000"/>
              <w:right w:val="single" w:sz="4" w:space="0" w:color="000000"/>
            </w:tcBorders>
            <w:shd w:val="clear" w:color="auto" w:fill="FFFF00"/>
          </w:tcPr>
          <w:p w14:paraId="5A807514" w14:textId="77777777" w:rsidR="00331E61" w:rsidRPr="00BB7702" w:rsidRDefault="00331E61" w:rsidP="00331E61">
            <w:pPr>
              <w:jc w:val="center"/>
              <w:rPr>
                <w:color w:val="FF0000"/>
              </w:rPr>
            </w:pPr>
          </w:p>
        </w:tc>
      </w:tr>
      <w:tr w:rsidR="00331E61" w14:paraId="7DF0E3A2" w14:textId="0D186EDD" w:rsidTr="001C5D95">
        <w:trPr>
          <w:trHeight w:val="567"/>
        </w:trPr>
        <w:tc>
          <w:tcPr>
            <w:tcW w:w="4106" w:type="dxa"/>
            <w:tcBorders>
              <w:top w:val="single" w:sz="4" w:space="0" w:color="000000"/>
              <w:left w:val="single" w:sz="4" w:space="0" w:color="000000"/>
              <w:bottom w:val="single" w:sz="4" w:space="0" w:color="auto"/>
            </w:tcBorders>
            <w:shd w:val="clear" w:color="auto" w:fill="auto"/>
          </w:tcPr>
          <w:p w14:paraId="79125EC6" w14:textId="48A6C450" w:rsidR="00497E78" w:rsidRPr="006E7CA3" w:rsidRDefault="000E3F67" w:rsidP="00497E78">
            <w:pPr>
              <w:spacing w:line="276" w:lineRule="auto"/>
              <w:contextualSpacing/>
              <w:rPr>
                <w:rFonts w:cs="Arial"/>
                <w:szCs w:val="20"/>
              </w:rPr>
            </w:pPr>
            <w:r w:rsidRPr="006E7CA3">
              <w:rPr>
                <w:rFonts w:cs="Arial"/>
                <w:szCs w:val="20"/>
              </w:rPr>
              <w:t>Voděodolné bezdrátové/</w:t>
            </w:r>
            <w:proofErr w:type="spellStart"/>
            <w:r w:rsidRPr="006E7CA3">
              <w:rPr>
                <w:rFonts w:cs="Arial"/>
                <w:szCs w:val="20"/>
              </w:rPr>
              <w:t>bezkabelové</w:t>
            </w:r>
            <w:proofErr w:type="spellEnd"/>
            <w:r w:rsidRPr="006E7CA3">
              <w:rPr>
                <w:rFonts w:cs="Arial"/>
                <w:szCs w:val="20"/>
              </w:rPr>
              <w:t xml:space="preserve"> sondy – možnost monitorování pod vodou (typ krytí min. IPX</w:t>
            </w:r>
            <w:proofErr w:type="gramStart"/>
            <w:r w:rsidRPr="006E7CA3">
              <w:rPr>
                <w:rFonts w:cs="Arial"/>
                <w:szCs w:val="20"/>
              </w:rPr>
              <w:t>7)</w:t>
            </w:r>
            <w:r w:rsidR="006E11A2">
              <w:rPr>
                <w:rFonts w:cs="Arial"/>
                <w:szCs w:val="20"/>
              </w:rPr>
              <w:t>*</w:t>
            </w:r>
            <w:proofErr w:type="gramEnd"/>
          </w:p>
        </w:tc>
        <w:tc>
          <w:tcPr>
            <w:tcW w:w="1134" w:type="dxa"/>
            <w:tcBorders>
              <w:top w:val="single" w:sz="4" w:space="0" w:color="000000"/>
              <w:left w:val="single" w:sz="4" w:space="0" w:color="000000"/>
              <w:bottom w:val="single" w:sz="4" w:space="0" w:color="auto"/>
            </w:tcBorders>
            <w:shd w:val="clear" w:color="auto" w:fill="FFFF00"/>
            <w:vAlign w:val="center"/>
          </w:tcPr>
          <w:p w14:paraId="50CABD87" w14:textId="354294D1" w:rsidR="00331E61" w:rsidRPr="002E2597" w:rsidRDefault="00331E61" w:rsidP="007321ED">
            <w:pPr>
              <w:rPr>
                <w:bCs/>
              </w:rPr>
            </w:pPr>
          </w:p>
        </w:tc>
        <w:tc>
          <w:tcPr>
            <w:tcW w:w="2268"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CD5B797" w14:textId="0158585D" w:rsidR="00331E61" w:rsidRDefault="00331E61" w:rsidP="00331E61">
            <w:pPr>
              <w:jc w:val="center"/>
            </w:pPr>
          </w:p>
        </w:tc>
        <w:tc>
          <w:tcPr>
            <w:tcW w:w="2268" w:type="dxa"/>
            <w:tcBorders>
              <w:top w:val="single" w:sz="4" w:space="0" w:color="000000"/>
              <w:left w:val="single" w:sz="4" w:space="0" w:color="000000"/>
              <w:bottom w:val="single" w:sz="4" w:space="0" w:color="auto"/>
              <w:right w:val="single" w:sz="4" w:space="0" w:color="000000"/>
            </w:tcBorders>
            <w:shd w:val="clear" w:color="auto" w:fill="FFFF00"/>
          </w:tcPr>
          <w:p w14:paraId="7D61CBA7" w14:textId="77777777" w:rsidR="00331E61" w:rsidRPr="00BB7702" w:rsidRDefault="00331E61" w:rsidP="00331E61">
            <w:pPr>
              <w:jc w:val="center"/>
              <w:rPr>
                <w:color w:val="FF0000"/>
              </w:rPr>
            </w:pPr>
          </w:p>
        </w:tc>
      </w:tr>
      <w:tr w:rsidR="00331E61" w14:paraId="658D98C5" w14:textId="2BCECECA" w:rsidTr="001C5D95">
        <w:trPr>
          <w:trHeight w:val="56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16EE300F" w14:textId="3E0B7F72" w:rsidR="00497E78" w:rsidRPr="006E7CA3" w:rsidRDefault="000E3F67" w:rsidP="00497E78">
            <w:pPr>
              <w:spacing w:line="276" w:lineRule="auto"/>
              <w:contextualSpacing/>
              <w:rPr>
                <w:rFonts w:cs="Arial"/>
                <w:szCs w:val="20"/>
              </w:rPr>
            </w:pPr>
            <w:r w:rsidRPr="006E7CA3">
              <w:rPr>
                <w:rFonts w:cs="Arial"/>
                <w:szCs w:val="20"/>
              </w:rPr>
              <w:t>Indikátor stavu baterie a stavu bezdrátového spojení sondy se základní stanicí</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14:paraId="4AB67715" w14:textId="6E166462" w:rsidR="00331E61" w:rsidRPr="00035745" w:rsidRDefault="00331E61" w:rsidP="007321ED">
            <w:pPr>
              <w:spacing w:line="276" w:lineRule="auto"/>
              <w:rPr>
                <w:rFonts w:cs="Arial"/>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E1768B" w14:textId="5653F622" w:rsidR="00331E61" w:rsidRDefault="00331E61" w:rsidP="00331E61">
            <w:pPr>
              <w:jc w:val="cente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7DFDE72" w14:textId="77777777" w:rsidR="00331E61" w:rsidRDefault="00331E61" w:rsidP="00331E61">
            <w:pPr>
              <w:rPr>
                <w:b/>
                <w:bCs/>
              </w:rPr>
            </w:pPr>
          </w:p>
        </w:tc>
      </w:tr>
      <w:tr w:rsidR="00331E61" w14:paraId="058E9403" w14:textId="77777777" w:rsidTr="00C70E61">
        <w:trPr>
          <w:trHeight w:val="567"/>
        </w:trPr>
        <w:tc>
          <w:tcPr>
            <w:tcW w:w="4106" w:type="dxa"/>
            <w:tcBorders>
              <w:top w:val="single" w:sz="4" w:space="0" w:color="auto"/>
              <w:left w:val="single" w:sz="4" w:space="0" w:color="000000"/>
              <w:bottom w:val="single" w:sz="4" w:space="0" w:color="000000"/>
            </w:tcBorders>
            <w:shd w:val="clear" w:color="auto" w:fill="auto"/>
          </w:tcPr>
          <w:p w14:paraId="467256BB" w14:textId="06A8AAA9" w:rsidR="00331E61" w:rsidRPr="006E7CA3" w:rsidRDefault="000E3F67" w:rsidP="00331E61">
            <w:pPr>
              <w:spacing w:line="276" w:lineRule="auto"/>
              <w:contextualSpacing/>
              <w:rPr>
                <w:rFonts w:cs="Arial"/>
                <w:szCs w:val="20"/>
              </w:rPr>
            </w:pPr>
            <w:r w:rsidRPr="006E7CA3">
              <w:rPr>
                <w:rFonts w:cs="Arial"/>
                <w:szCs w:val="20"/>
              </w:rPr>
              <w:t>Kapacita baterie v sondách pro monitorování min. 8 hodin</w:t>
            </w:r>
          </w:p>
        </w:tc>
        <w:tc>
          <w:tcPr>
            <w:tcW w:w="1134" w:type="dxa"/>
            <w:tcBorders>
              <w:top w:val="single" w:sz="4" w:space="0" w:color="auto"/>
              <w:left w:val="single" w:sz="4" w:space="0" w:color="000000"/>
              <w:bottom w:val="single" w:sz="4" w:space="0" w:color="000000"/>
            </w:tcBorders>
            <w:shd w:val="clear" w:color="auto" w:fill="FFFF00"/>
            <w:vAlign w:val="center"/>
          </w:tcPr>
          <w:p w14:paraId="2B7624F8" w14:textId="77777777" w:rsidR="00331E61" w:rsidRPr="000D2014" w:rsidRDefault="00331E61" w:rsidP="007321ED">
            <w:pPr>
              <w:rPr>
                <w:bCs/>
              </w:rPr>
            </w:pPr>
          </w:p>
        </w:tc>
        <w:tc>
          <w:tcPr>
            <w:tcW w:w="2268" w:type="dxa"/>
            <w:tcBorders>
              <w:top w:val="single" w:sz="4" w:space="0" w:color="auto"/>
              <w:left w:val="single" w:sz="4" w:space="0" w:color="000000"/>
              <w:bottom w:val="single" w:sz="4" w:space="0" w:color="000000"/>
              <w:right w:val="single" w:sz="4" w:space="0" w:color="000000"/>
            </w:tcBorders>
            <w:shd w:val="clear" w:color="auto" w:fill="FFFF00"/>
          </w:tcPr>
          <w:p w14:paraId="6E74FA2F" w14:textId="77777777" w:rsidR="00331E61" w:rsidRDefault="00331E61" w:rsidP="00331E61">
            <w:pPr>
              <w:jc w:val="center"/>
            </w:pPr>
          </w:p>
        </w:tc>
        <w:tc>
          <w:tcPr>
            <w:tcW w:w="2268" w:type="dxa"/>
            <w:tcBorders>
              <w:top w:val="single" w:sz="4" w:space="0" w:color="auto"/>
              <w:left w:val="single" w:sz="4" w:space="0" w:color="000000"/>
              <w:bottom w:val="single" w:sz="4" w:space="0" w:color="000000"/>
              <w:right w:val="single" w:sz="4" w:space="0" w:color="000000"/>
            </w:tcBorders>
            <w:shd w:val="clear" w:color="auto" w:fill="FFFF00"/>
          </w:tcPr>
          <w:p w14:paraId="18AED0D7" w14:textId="77777777" w:rsidR="00331E61" w:rsidRDefault="00331E61" w:rsidP="00331E61">
            <w:pPr>
              <w:rPr>
                <w:b/>
                <w:bCs/>
              </w:rPr>
            </w:pPr>
          </w:p>
        </w:tc>
      </w:tr>
      <w:tr w:rsidR="00331E61" w14:paraId="05DD2256" w14:textId="226584B2" w:rsidTr="00C70E61">
        <w:trPr>
          <w:trHeight w:val="715"/>
        </w:trPr>
        <w:tc>
          <w:tcPr>
            <w:tcW w:w="4106" w:type="dxa"/>
            <w:tcBorders>
              <w:top w:val="single" w:sz="4" w:space="0" w:color="000000"/>
              <w:left w:val="single" w:sz="4" w:space="0" w:color="000000"/>
              <w:bottom w:val="single" w:sz="4" w:space="0" w:color="000000"/>
            </w:tcBorders>
            <w:shd w:val="clear" w:color="auto" w:fill="auto"/>
          </w:tcPr>
          <w:p w14:paraId="7668C41D" w14:textId="0D66AB81" w:rsidR="00497E78" w:rsidRPr="006E7CA3" w:rsidRDefault="000E3F67" w:rsidP="00497E78">
            <w:pPr>
              <w:spacing w:line="276" w:lineRule="auto"/>
              <w:contextualSpacing/>
              <w:jc w:val="both"/>
              <w:rPr>
                <w:rFonts w:cs="Arial"/>
                <w:szCs w:val="20"/>
              </w:rPr>
            </w:pPr>
            <w:r w:rsidRPr="006E7CA3">
              <w:rPr>
                <w:rFonts w:cs="Arial"/>
                <w:szCs w:val="20"/>
              </w:rPr>
              <w:t>Doba nabíjení sond max. 4 hodiny</w:t>
            </w:r>
          </w:p>
        </w:tc>
        <w:tc>
          <w:tcPr>
            <w:tcW w:w="1134" w:type="dxa"/>
            <w:tcBorders>
              <w:top w:val="single" w:sz="4" w:space="0" w:color="000000"/>
              <w:left w:val="single" w:sz="4" w:space="0" w:color="000000"/>
              <w:bottom w:val="single" w:sz="4" w:space="0" w:color="000000"/>
            </w:tcBorders>
            <w:shd w:val="clear" w:color="auto" w:fill="FFFF00"/>
            <w:vAlign w:val="center"/>
          </w:tcPr>
          <w:p w14:paraId="2C3894D5" w14:textId="1F3E99F8" w:rsidR="00331E61" w:rsidRPr="000D2014" w:rsidRDefault="00331E61" w:rsidP="007321ED">
            <w:pPr>
              <w:rPr>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00"/>
          </w:tcPr>
          <w:p w14:paraId="11B27271" w14:textId="6C15E6A8" w:rsidR="00331E61" w:rsidRDefault="00331E61" w:rsidP="00331E61">
            <w:pPr>
              <w:jc w:val="center"/>
            </w:pPr>
          </w:p>
        </w:tc>
        <w:tc>
          <w:tcPr>
            <w:tcW w:w="2268" w:type="dxa"/>
            <w:tcBorders>
              <w:top w:val="single" w:sz="4" w:space="0" w:color="000000"/>
              <w:left w:val="single" w:sz="4" w:space="0" w:color="000000"/>
              <w:bottom w:val="single" w:sz="4" w:space="0" w:color="000000"/>
              <w:right w:val="single" w:sz="4" w:space="0" w:color="000000"/>
            </w:tcBorders>
            <w:shd w:val="clear" w:color="auto" w:fill="FFFF00"/>
          </w:tcPr>
          <w:p w14:paraId="2BA06CDE" w14:textId="77777777" w:rsidR="00331E61" w:rsidRPr="00BB7702" w:rsidRDefault="00331E61" w:rsidP="00331E61">
            <w:pPr>
              <w:jc w:val="center"/>
              <w:rPr>
                <w:color w:val="FF0000"/>
              </w:rPr>
            </w:pPr>
          </w:p>
        </w:tc>
      </w:tr>
      <w:tr w:rsidR="00331E61" w14:paraId="37369FA2" w14:textId="447D5013" w:rsidTr="001C5D95">
        <w:trPr>
          <w:trHeight w:val="567"/>
        </w:trPr>
        <w:tc>
          <w:tcPr>
            <w:tcW w:w="4106" w:type="dxa"/>
            <w:tcBorders>
              <w:left w:val="single" w:sz="4" w:space="0" w:color="000000"/>
              <w:bottom w:val="single" w:sz="4" w:space="0" w:color="auto"/>
            </w:tcBorders>
            <w:shd w:val="clear" w:color="auto" w:fill="auto"/>
          </w:tcPr>
          <w:p w14:paraId="78666C0D" w14:textId="0DE5217F" w:rsidR="007F253B" w:rsidRPr="006E7CA3" w:rsidRDefault="000E3F67" w:rsidP="00497E78">
            <w:pPr>
              <w:spacing w:line="276" w:lineRule="auto"/>
              <w:jc w:val="both"/>
              <w:rPr>
                <w:rFonts w:cs="Arial"/>
                <w:szCs w:val="20"/>
              </w:rPr>
            </w:pPr>
            <w:r w:rsidRPr="006E7CA3">
              <w:rPr>
                <w:rFonts w:cs="Arial"/>
                <w:szCs w:val="20"/>
              </w:rPr>
              <w:t>Uživatelsky vyměnitelné baterie v sondách nebo doživotní záruka na bezplatnou výměnu baterie do 48 hodin od nahlášení oprávněné osobě dle smlouvy</w:t>
            </w:r>
          </w:p>
        </w:tc>
        <w:tc>
          <w:tcPr>
            <w:tcW w:w="1134" w:type="dxa"/>
            <w:tcBorders>
              <w:left w:val="single" w:sz="4" w:space="0" w:color="000000"/>
              <w:bottom w:val="single" w:sz="4" w:space="0" w:color="auto"/>
            </w:tcBorders>
            <w:shd w:val="clear" w:color="auto" w:fill="FFFF00"/>
            <w:vAlign w:val="center"/>
          </w:tcPr>
          <w:p w14:paraId="0C4C1D3F" w14:textId="49F81366" w:rsidR="00331E61" w:rsidRPr="00241E4F" w:rsidRDefault="00331E61" w:rsidP="007321ED">
            <w:pPr>
              <w:rPr>
                <w:bCs/>
              </w:rPr>
            </w:pPr>
          </w:p>
        </w:tc>
        <w:tc>
          <w:tcPr>
            <w:tcW w:w="2268" w:type="dxa"/>
            <w:tcBorders>
              <w:left w:val="single" w:sz="4" w:space="0" w:color="000000"/>
              <w:bottom w:val="single" w:sz="4" w:space="0" w:color="auto"/>
              <w:right w:val="single" w:sz="4" w:space="0" w:color="000000"/>
            </w:tcBorders>
            <w:shd w:val="clear" w:color="auto" w:fill="D9D9D9" w:themeFill="background1" w:themeFillShade="D9"/>
          </w:tcPr>
          <w:p w14:paraId="5F0AAA5D" w14:textId="3FA577F7" w:rsidR="00331E61" w:rsidRDefault="00331E61" w:rsidP="00331E61">
            <w:pPr>
              <w:jc w:val="center"/>
            </w:pPr>
          </w:p>
        </w:tc>
        <w:tc>
          <w:tcPr>
            <w:tcW w:w="2268" w:type="dxa"/>
            <w:tcBorders>
              <w:left w:val="single" w:sz="4" w:space="0" w:color="000000"/>
              <w:bottom w:val="single" w:sz="4" w:space="0" w:color="auto"/>
              <w:right w:val="single" w:sz="4" w:space="0" w:color="000000"/>
            </w:tcBorders>
            <w:shd w:val="clear" w:color="auto" w:fill="FFFF00"/>
          </w:tcPr>
          <w:p w14:paraId="1675B110" w14:textId="77777777" w:rsidR="00331E61" w:rsidRPr="00BB7702" w:rsidRDefault="00331E61" w:rsidP="00331E61">
            <w:pPr>
              <w:jc w:val="center"/>
              <w:rPr>
                <w:color w:val="FF0000"/>
              </w:rPr>
            </w:pPr>
          </w:p>
        </w:tc>
      </w:tr>
      <w:tr w:rsidR="00331E61" w14:paraId="12CC8027" w14:textId="3C166337" w:rsidTr="001C5D95">
        <w:trPr>
          <w:trHeight w:val="56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448DBE4E" w14:textId="30FE4C48" w:rsidR="00331E61" w:rsidRPr="006E7CA3" w:rsidRDefault="000E3F67" w:rsidP="007F24C1">
            <w:pPr>
              <w:contextualSpacing/>
              <w:rPr>
                <w:rFonts w:cs="Arial"/>
                <w:szCs w:val="20"/>
              </w:rPr>
            </w:pPr>
            <w:proofErr w:type="spellStart"/>
            <w:r w:rsidRPr="006E7CA3">
              <w:rPr>
                <w:rFonts w:cs="Arial"/>
                <w:szCs w:val="20"/>
              </w:rPr>
              <w:t>Indentifikace</w:t>
            </w:r>
            <w:proofErr w:type="spellEnd"/>
            <w:r w:rsidRPr="006E7CA3">
              <w:rPr>
                <w:rFonts w:cs="Arial"/>
                <w:szCs w:val="20"/>
              </w:rPr>
              <w:t xml:space="preserve"> sondy prostřednictvím základní stanice</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14:paraId="0CCA9BDE" w14:textId="09B7170E" w:rsidR="00331E61" w:rsidRPr="00241E4F" w:rsidRDefault="00331E61" w:rsidP="007321ED">
            <w:pPr>
              <w:rPr>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CA4BD8" w14:textId="4D0D13A2" w:rsidR="00331E61" w:rsidRDefault="00331E61" w:rsidP="00331E61">
            <w:pPr>
              <w:jc w:val="cente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1E91BDB" w14:textId="77777777" w:rsidR="00331E61" w:rsidRPr="00BB7702" w:rsidRDefault="00331E61" w:rsidP="00331E61">
            <w:pPr>
              <w:jc w:val="center"/>
              <w:rPr>
                <w:color w:val="FF0000"/>
              </w:rPr>
            </w:pPr>
          </w:p>
        </w:tc>
      </w:tr>
      <w:bookmarkEnd w:id="2"/>
      <w:tr w:rsidR="00331E61" w14:paraId="721F03D7" w14:textId="26DE8976" w:rsidTr="001C5D95">
        <w:trPr>
          <w:trHeight w:val="56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6FD95BFF" w14:textId="2EEF0991" w:rsidR="00497E78" w:rsidRPr="006E7CA3" w:rsidRDefault="000E3F67" w:rsidP="00497E78">
            <w:pPr>
              <w:spacing w:line="276" w:lineRule="auto"/>
              <w:contextualSpacing/>
              <w:jc w:val="both"/>
              <w:rPr>
                <w:rFonts w:cs="Arial"/>
                <w:szCs w:val="20"/>
              </w:rPr>
            </w:pPr>
            <w:r w:rsidRPr="006E7CA3">
              <w:rPr>
                <w:rFonts w:cs="Arial"/>
                <w:szCs w:val="20"/>
              </w:rPr>
              <w:t>Základní jednotka přijímá signál telemetrických sond</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14:paraId="00AB4013" w14:textId="2F133462" w:rsidR="00331E61" w:rsidRPr="007C379F" w:rsidRDefault="00331E61" w:rsidP="007321ED"/>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5C4E3" w14:textId="0AF333B4" w:rsidR="00331E61" w:rsidRPr="00BB7702" w:rsidRDefault="00331E61" w:rsidP="00331E61">
            <w:pPr>
              <w:jc w:val="center"/>
              <w:rPr>
                <w:color w:val="FF0000"/>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24C32BB" w14:textId="77777777" w:rsidR="00331E61" w:rsidRPr="00925E92" w:rsidRDefault="00331E61" w:rsidP="00331E61">
            <w:pPr>
              <w:jc w:val="center"/>
              <w:rPr>
                <w:color w:val="FF0000"/>
              </w:rPr>
            </w:pPr>
          </w:p>
        </w:tc>
      </w:tr>
      <w:tr w:rsidR="00331E61" w14:paraId="7C3BD5E0" w14:textId="004318FD" w:rsidTr="001C5D95">
        <w:trPr>
          <w:trHeight w:val="56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6D917994" w14:textId="1FE6EE91" w:rsidR="00497E78" w:rsidRPr="006E7CA3" w:rsidRDefault="000E3F67" w:rsidP="006E7CA3">
            <w:pPr>
              <w:rPr>
                <w:rFonts w:cs="Arial"/>
                <w:szCs w:val="20"/>
              </w:rPr>
            </w:pPr>
            <w:r w:rsidRPr="006E7CA3">
              <w:rPr>
                <w:rFonts w:cs="Arial"/>
                <w:szCs w:val="20"/>
              </w:rPr>
              <w:t>Základní jednotka dobíjí baterie telemetrických sond</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14:paraId="00F21902" w14:textId="77F9442F" w:rsidR="00331E61" w:rsidRPr="00C4354B" w:rsidRDefault="00331E61" w:rsidP="007321ED"/>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B6071D" w14:textId="0ECD606F" w:rsidR="00331E61" w:rsidRPr="00925E92" w:rsidRDefault="00331E61" w:rsidP="00331E61">
            <w:pPr>
              <w:jc w:val="center"/>
              <w:rPr>
                <w:color w:val="FF0000"/>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922485A" w14:textId="77777777" w:rsidR="00331E61" w:rsidRPr="00BB7702" w:rsidRDefault="00331E61" w:rsidP="00331E61">
            <w:pPr>
              <w:jc w:val="center"/>
              <w:rPr>
                <w:color w:val="FF0000"/>
              </w:rPr>
            </w:pPr>
          </w:p>
        </w:tc>
      </w:tr>
      <w:tr w:rsidR="00331E61" w14:paraId="4E559526" w14:textId="233E5F25" w:rsidTr="001C5D95">
        <w:trPr>
          <w:trHeight w:val="56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03D52BDD" w14:textId="342EC38E" w:rsidR="00331E61" w:rsidRPr="006E11A2" w:rsidRDefault="006E7CA3" w:rsidP="00497E78">
            <w:pPr>
              <w:jc w:val="both"/>
              <w:rPr>
                <w:szCs w:val="20"/>
              </w:rPr>
            </w:pPr>
            <w:r w:rsidRPr="006E11A2">
              <w:rPr>
                <w:szCs w:val="20"/>
              </w:rPr>
              <w:t xml:space="preserve">Napájení základní jednotky prostřednictvím připojeného </w:t>
            </w:r>
            <w:proofErr w:type="spellStart"/>
            <w:r w:rsidRPr="006E11A2">
              <w:rPr>
                <w:szCs w:val="20"/>
              </w:rPr>
              <w:t>kardiotokografu</w:t>
            </w:r>
            <w:proofErr w:type="spellEnd"/>
            <w:r w:rsidRPr="006E11A2">
              <w:rPr>
                <w:szCs w:val="20"/>
              </w:rPr>
              <w:t xml:space="preserve"> (požadavek na kompatibilitu s KTG)</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14:paraId="240069CB" w14:textId="5EFA8EFD" w:rsidR="00331E61" w:rsidRPr="00C4354B" w:rsidRDefault="00331E61" w:rsidP="007321ED"/>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E7668A" w14:textId="30B9B251" w:rsidR="00331E61" w:rsidRPr="00925E92" w:rsidRDefault="00331E61" w:rsidP="00331E61">
            <w:pPr>
              <w:jc w:val="center"/>
              <w:rPr>
                <w:color w:val="FF0000"/>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AD4C404" w14:textId="77777777" w:rsidR="00331E61" w:rsidRPr="00E059EA" w:rsidRDefault="00331E61" w:rsidP="00331E61">
            <w:pPr>
              <w:jc w:val="center"/>
              <w:rPr>
                <w:color w:val="FF0000"/>
              </w:rPr>
            </w:pPr>
          </w:p>
        </w:tc>
      </w:tr>
      <w:tr w:rsidR="00331E61" w14:paraId="3438B7D6" w14:textId="3F70A26C" w:rsidTr="001C5D95">
        <w:trPr>
          <w:trHeight w:val="56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183E2F43" w14:textId="589EFA81" w:rsidR="00331E61" w:rsidRPr="006E11A2" w:rsidRDefault="006E7CA3" w:rsidP="00331E61">
            <w:pPr>
              <w:spacing w:line="276" w:lineRule="auto"/>
              <w:contextualSpacing/>
              <w:rPr>
                <w:rFonts w:cs="Arial"/>
                <w:szCs w:val="20"/>
              </w:rPr>
            </w:pPr>
            <w:r w:rsidRPr="006E11A2">
              <w:rPr>
                <w:rFonts w:cs="Arial"/>
                <w:szCs w:val="20"/>
              </w:rPr>
              <w:t>Možnost monitorování srdeční frekvence více plodů</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14:paraId="24A7D922" w14:textId="77777777" w:rsidR="00331E61" w:rsidRPr="00670F14" w:rsidRDefault="00331E61" w:rsidP="007321ED"/>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1C53E" w14:textId="77777777" w:rsidR="00331E61" w:rsidRPr="00E059EA" w:rsidRDefault="00331E61" w:rsidP="00331E61">
            <w:pPr>
              <w:jc w:val="center"/>
              <w:rPr>
                <w:color w:val="FF0000"/>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F13E253" w14:textId="77777777" w:rsidR="00331E61" w:rsidRPr="00E059EA" w:rsidRDefault="00331E61" w:rsidP="00331E61">
            <w:pPr>
              <w:jc w:val="center"/>
              <w:rPr>
                <w:color w:val="FF0000"/>
              </w:rPr>
            </w:pPr>
          </w:p>
        </w:tc>
      </w:tr>
      <w:tr w:rsidR="00331E61" w14:paraId="2650C945" w14:textId="18DE62DF" w:rsidTr="001C5D95">
        <w:trPr>
          <w:trHeight w:val="56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3DF7CB74" w14:textId="6690FCCE" w:rsidR="00331E61" w:rsidRPr="006E11A2" w:rsidRDefault="006E7CA3" w:rsidP="00331E61">
            <w:pPr>
              <w:spacing w:line="276" w:lineRule="auto"/>
              <w:contextualSpacing/>
              <w:rPr>
                <w:rFonts w:cs="Arial"/>
                <w:szCs w:val="20"/>
              </w:rPr>
            </w:pPr>
            <w:r w:rsidRPr="006E11A2">
              <w:rPr>
                <w:rFonts w:cs="Arial"/>
                <w:szCs w:val="20"/>
              </w:rPr>
              <w:t>Možnost o rozšíření snímání EKG matky</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14:paraId="6644E792" w14:textId="77777777" w:rsidR="00331E61" w:rsidRPr="00670F14" w:rsidRDefault="00331E61" w:rsidP="007321ED"/>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74C259" w14:textId="77777777" w:rsidR="00331E61" w:rsidRPr="00E059EA" w:rsidRDefault="00331E61" w:rsidP="00331E61">
            <w:pPr>
              <w:jc w:val="center"/>
              <w:rPr>
                <w:color w:val="FF0000"/>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683BAE3" w14:textId="77777777" w:rsidR="00331E61" w:rsidRPr="00E059EA" w:rsidRDefault="00331E61" w:rsidP="00331E61">
            <w:pPr>
              <w:jc w:val="center"/>
              <w:rPr>
                <w:color w:val="FF0000"/>
              </w:rPr>
            </w:pPr>
          </w:p>
        </w:tc>
      </w:tr>
      <w:tr w:rsidR="00331E61" w14:paraId="2A594C0C" w14:textId="77777777" w:rsidTr="001C5D95">
        <w:trPr>
          <w:trHeight w:val="567"/>
        </w:trPr>
        <w:tc>
          <w:tcPr>
            <w:tcW w:w="4106" w:type="dxa"/>
            <w:tcBorders>
              <w:top w:val="single" w:sz="4" w:space="0" w:color="auto"/>
              <w:left w:val="single" w:sz="4" w:space="0" w:color="auto"/>
              <w:bottom w:val="single" w:sz="4" w:space="0" w:color="auto"/>
              <w:right w:val="single" w:sz="4" w:space="0" w:color="auto"/>
            </w:tcBorders>
            <w:shd w:val="clear" w:color="auto" w:fill="auto"/>
          </w:tcPr>
          <w:p w14:paraId="3704875B" w14:textId="77777777" w:rsidR="00331E61" w:rsidRDefault="006E7CA3" w:rsidP="00497E78">
            <w:pPr>
              <w:spacing w:line="276" w:lineRule="auto"/>
              <w:contextualSpacing/>
              <w:jc w:val="both"/>
              <w:rPr>
                <w:rFonts w:cs="Arial"/>
              </w:rPr>
            </w:pPr>
            <w:r>
              <w:rPr>
                <w:rFonts w:cs="Arial"/>
              </w:rPr>
              <w:t>Vybavení sondami:</w:t>
            </w:r>
          </w:p>
          <w:p w14:paraId="3CDA1641" w14:textId="67A13B5F" w:rsidR="006E7CA3" w:rsidRDefault="006E7CA3" w:rsidP="006E7CA3">
            <w:pPr>
              <w:pStyle w:val="Odstavecseseznamem"/>
              <w:numPr>
                <w:ilvl w:val="0"/>
                <w:numId w:val="7"/>
              </w:numPr>
              <w:spacing w:line="276" w:lineRule="auto"/>
              <w:contextualSpacing/>
              <w:jc w:val="both"/>
              <w:rPr>
                <w:rFonts w:cs="Arial"/>
              </w:rPr>
            </w:pPr>
            <w:r>
              <w:rPr>
                <w:rFonts w:cs="Arial"/>
              </w:rPr>
              <w:lastRenderedPageBreak/>
              <w:t>US sonda telemetrická – monitorování srdeční frekvence plodu*</w:t>
            </w:r>
          </w:p>
          <w:p w14:paraId="63267CC7" w14:textId="2F6F8D12" w:rsidR="006E7CA3" w:rsidRPr="006E7CA3" w:rsidRDefault="006E7CA3" w:rsidP="006E7CA3">
            <w:pPr>
              <w:pStyle w:val="Odstavecseseznamem"/>
              <w:numPr>
                <w:ilvl w:val="0"/>
                <w:numId w:val="7"/>
              </w:numPr>
              <w:spacing w:line="276" w:lineRule="auto"/>
              <w:contextualSpacing/>
              <w:jc w:val="both"/>
              <w:rPr>
                <w:rFonts w:cs="Arial"/>
              </w:rPr>
            </w:pPr>
            <w:r>
              <w:rPr>
                <w:rFonts w:cs="Arial"/>
              </w:rPr>
              <w:t>TOCO sonda telemetrická – monitorování děložních stahů matky*</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14:paraId="568DD2A8" w14:textId="77777777" w:rsidR="00331E61" w:rsidRPr="00670F14" w:rsidRDefault="00331E61" w:rsidP="007321ED"/>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D7543F" w14:textId="77777777" w:rsidR="00331E61" w:rsidRPr="00E059EA" w:rsidRDefault="00331E61" w:rsidP="00331E61">
            <w:pPr>
              <w:jc w:val="center"/>
              <w:rPr>
                <w:color w:val="FF0000"/>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4C7A6DC" w14:textId="77777777" w:rsidR="00331E61" w:rsidRPr="00E059EA" w:rsidRDefault="00331E61" w:rsidP="00331E61">
            <w:pPr>
              <w:jc w:val="center"/>
              <w:rPr>
                <w:color w:val="FF0000"/>
              </w:rPr>
            </w:pPr>
          </w:p>
        </w:tc>
      </w:tr>
    </w:tbl>
    <w:p w14:paraId="058BC0B5" w14:textId="333E7288" w:rsidR="001C5D95" w:rsidRPr="003B5041" w:rsidRDefault="006E7CA3" w:rsidP="001C5D95">
      <w:pPr>
        <w:spacing w:after="120"/>
        <w:ind w:right="-142"/>
        <w:jc w:val="both"/>
        <w:rPr>
          <w:i/>
          <w:iCs/>
        </w:rPr>
      </w:pPr>
      <w:r w:rsidRPr="00066454">
        <w:rPr>
          <w:rFonts w:cs="Arial"/>
        </w:rPr>
        <w:t>*</w:t>
      </w:r>
      <w:r w:rsidRPr="00066454">
        <w:rPr>
          <w:i/>
        </w:rPr>
        <w:t xml:space="preserve"> </w:t>
      </w:r>
      <w:r w:rsidR="001C5D95" w:rsidRPr="007F7881">
        <w:rPr>
          <w:i/>
          <w:iCs/>
        </w:rPr>
        <w:t>Dodavatel je oprávněn navrhnout jiné řešení splňující rovnocenným způsobem požadavky vymezené těmito technickými podmínkami. Tuto skutečnost dodavatel prokáže ve své nabídce, a to zejména technickou dokumentací výrobce nebo zkušebním protokolem vydaným uznaným orgánem. Uznanými orgány se rozumí zkušební a kalibrační laboratoře nebo certifikační a inspekční orgány splňující platné evropské normy.</w:t>
      </w:r>
    </w:p>
    <w:p w14:paraId="26C916FD" w14:textId="5D6C963A" w:rsidR="006E7CA3" w:rsidRPr="00066454" w:rsidRDefault="006E7CA3" w:rsidP="006E7CA3">
      <w:pPr>
        <w:jc w:val="both"/>
        <w:rPr>
          <w:i/>
        </w:rPr>
      </w:pPr>
    </w:p>
    <w:p w14:paraId="0C45BE2F" w14:textId="77777777" w:rsidR="0013386C" w:rsidRDefault="0013386C" w:rsidP="00344E00">
      <w:pPr>
        <w:rPr>
          <w:b/>
          <w:bCs/>
        </w:rPr>
      </w:pPr>
    </w:p>
    <w:p w14:paraId="17168461" w14:textId="77777777" w:rsidR="006E11A2" w:rsidRDefault="006E11A2" w:rsidP="00344E00">
      <w:pPr>
        <w:rPr>
          <w:b/>
          <w:bCs/>
        </w:rPr>
      </w:pPr>
    </w:p>
    <w:p w14:paraId="3CBD3B24" w14:textId="77777777" w:rsidR="006E11A2" w:rsidRDefault="006E11A2" w:rsidP="00344E00">
      <w:pPr>
        <w:rPr>
          <w:b/>
          <w:bCs/>
        </w:rPr>
      </w:pPr>
    </w:p>
    <w:p w14:paraId="33544240" w14:textId="77777777" w:rsidR="001C5D95" w:rsidRDefault="001C5D95" w:rsidP="001C5D95">
      <w:pPr>
        <w:jc w:val="both"/>
        <w:rPr>
          <w:b/>
          <w:bCs/>
        </w:rPr>
      </w:pPr>
      <w:r>
        <w:rPr>
          <w:b/>
          <w:bCs/>
        </w:rPr>
        <w:t>Doplňující informace:</w:t>
      </w:r>
    </w:p>
    <w:p w14:paraId="427E5D9A" w14:textId="77777777" w:rsidR="001C5D95" w:rsidRDefault="001C5D95" w:rsidP="001C5D95">
      <w:pPr>
        <w:jc w:val="both"/>
      </w:pPr>
    </w:p>
    <w:p w14:paraId="04D9BA4F" w14:textId="77777777" w:rsidR="001C5D95" w:rsidRDefault="001C5D95" w:rsidP="001C5D95">
      <w:pPr>
        <w:pStyle w:val="Odstavecseseznamem"/>
        <w:numPr>
          <w:ilvl w:val="0"/>
          <w:numId w:val="8"/>
        </w:numPr>
        <w:spacing w:line="360" w:lineRule="auto"/>
        <w:jc w:val="both"/>
        <w:rPr>
          <w:szCs w:val="20"/>
        </w:rPr>
      </w:pPr>
      <w:r>
        <w:rPr>
          <w:szCs w:val="20"/>
        </w:rPr>
        <w:t>v rámci záruky budou BTK prováděny zdarma</w:t>
      </w:r>
    </w:p>
    <w:p w14:paraId="2FCD289D" w14:textId="77777777" w:rsidR="001C5D95" w:rsidRDefault="001C5D95" w:rsidP="001C5D95">
      <w:pPr>
        <w:pStyle w:val="Odstavecseseznamem"/>
        <w:numPr>
          <w:ilvl w:val="0"/>
          <w:numId w:val="8"/>
        </w:numPr>
        <w:spacing w:line="360" w:lineRule="auto"/>
        <w:jc w:val="both"/>
        <w:rPr>
          <w:szCs w:val="20"/>
        </w:rPr>
      </w:pPr>
      <w:bookmarkStart w:id="3" w:name="_Hlk133581022"/>
      <w:r>
        <w:rPr>
          <w:szCs w:val="20"/>
        </w:rPr>
        <w:t xml:space="preserve">jedná se o zdravotnický prostředek </w:t>
      </w:r>
      <w:r>
        <w:rPr>
          <w:rFonts w:cs="Arial"/>
        </w:rPr>
        <w:t xml:space="preserve">dle zákona o zdravotních prostředcích </w:t>
      </w:r>
      <w:bookmarkEnd w:id="3"/>
      <w:r>
        <w:rPr>
          <w:rFonts w:cs="Arial"/>
        </w:rPr>
        <w:t xml:space="preserve">v platném znění: </w:t>
      </w:r>
      <w:r>
        <w:rPr>
          <w:rFonts w:cs="Arial"/>
          <w:highlight w:val="yellow"/>
        </w:rPr>
        <w:t xml:space="preserve">ANO / NE </w:t>
      </w:r>
      <w:r>
        <w:rPr>
          <w:color w:val="FF0000"/>
          <w:szCs w:val="20"/>
          <w:highlight w:val="yellow"/>
        </w:rPr>
        <w:t>(doplní dodavatel)</w:t>
      </w:r>
    </w:p>
    <w:p w14:paraId="6C9BE68D" w14:textId="77777777" w:rsidR="001C5D95" w:rsidRDefault="001C5D95" w:rsidP="001C5D95">
      <w:pPr>
        <w:pStyle w:val="Odstavecseseznamem"/>
        <w:numPr>
          <w:ilvl w:val="0"/>
          <w:numId w:val="8"/>
        </w:numPr>
        <w:spacing w:line="360" w:lineRule="auto"/>
        <w:jc w:val="both"/>
        <w:rPr>
          <w:szCs w:val="20"/>
        </w:rPr>
      </w:pPr>
      <w:r>
        <w:rPr>
          <w:szCs w:val="20"/>
        </w:rPr>
        <w:t>klasifikační třída zdravotnického přístroje:</w:t>
      </w:r>
      <w:r>
        <w:rPr>
          <w:szCs w:val="20"/>
        </w:rPr>
        <w:tab/>
      </w:r>
      <w:r>
        <w:rPr>
          <w:szCs w:val="20"/>
        </w:rPr>
        <w:tab/>
      </w:r>
      <w:r>
        <w:rPr>
          <w:szCs w:val="20"/>
        </w:rPr>
        <w:tab/>
      </w:r>
      <w:r>
        <w:rPr>
          <w:szCs w:val="20"/>
          <w:highlight w:val="yellow"/>
        </w:rPr>
        <w:t xml:space="preserve">…………… </w:t>
      </w:r>
      <w:r>
        <w:rPr>
          <w:color w:val="FF0000"/>
          <w:szCs w:val="20"/>
          <w:highlight w:val="yellow"/>
        </w:rPr>
        <w:t>(doplní dodavatel)</w:t>
      </w:r>
    </w:p>
    <w:p w14:paraId="33E88F0F" w14:textId="77777777" w:rsidR="001C5D95" w:rsidRDefault="001C5D95" w:rsidP="001C5D95">
      <w:pPr>
        <w:pStyle w:val="Odstavecseseznamem"/>
        <w:numPr>
          <w:ilvl w:val="0"/>
          <w:numId w:val="8"/>
        </w:numPr>
        <w:spacing w:line="360" w:lineRule="auto"/>
        <w:jc w:val="both"/>
        <w:rPr>
          <w:szCs w:val="20"/>
        </w:rPr>
      </w:pPr>
      <w:r>
        <w:rPr>
          <w:szCs w:val="20"/>
        </w:rPr>
        <w:t xml:space="preserve">podléhá notifikaci SÚKL: </w:t>
      </w:r>
      <w:r>
        <w:rPr>
          <w:rFonts w:cs="Arial"/>
          <w:highlight w:val="yellow"/>
        </w:rPr>
        <w:t xml:space="preserve">ANO / NE </w:t>
      </w:r>
      <w:r>
        <w:rPr>
          <w:color w:val="FF0000"/>
          <w:szCs w:val="20"/>
          <w:highlight w:val="yellow"/>
        </w:rPr>
        <w:t>(doplní dodavatel)</w:t>
      </w:r>
    </w:p>
    <w:p w14:paraId="7BC4F236" w14:textId="77777777" w:rsidR="001C5D95" w:rsidRDefault="001C5D95" w:rsidP="001C5D95">
      <w:pPr>
        <w:pStyle w:val="Odstavecseseznamem"/>
        <w:numPr>
          <w:ilvl w:val="0"/>
          <w:numId w:val="8"/>
        </w:numPr>
        <w:spacing w:line="360" w:lineRule="auto"/>
        <w:jc w:val="both"/>
      </w:pPr>
      <w:r>
        <w:rPr>
          <w:szCs w:val="20"/>
        </w:rPr>
        <w:t>uveďte nároky na kalibraci, validaci případně jiná metrologická ověření a jejich četnost (pokud přístroj tyto úkony nevyžaduje, uveďte to také):</w:t>
      </w:r>
      <w:r>
        <w:rPr>
          <w:szCs w:val="20"/>
        </w:rPr>
        <w:tab/>
      </w:r>
      <w:r>
        <w:rPr>
          <w:szCs w:val="20"/>
        </w:rPr>
        <w:tab/>
      </w:r>
      <w:r>
        <w:rPr>
          <w:szCs w:val="20"/>
        </w:rPr>
        <w:tab/>
      </w:r>
      <w:r>
        <w:rPr>
          <w:szCs w:val="20"/>
          <w:highlight w:val="yellow"/>
        </w:rPr>
        <w:t>…</w:t>
      </w:r>
      <w:r>
        <w:rPr>
          <w:highlight w:val="yellow"/>
        </w:rPr>
        <w:t>……</w:t>
      </w:r>
      <w:proofErr w:type="gramStart"/>
      <w:r>
        <w:rPr>
          <w:highlight w:val="yellow"/>
        </w:rPr>
        <w:t>…….</w:t>
      </w:r>
      <w:proofErr w:type="gramEnd"/>
      <w:r>
        <w:rPr>
          <w:highlight w:val="yellow"/>
        </w:rPr>
        <w:t>.</w:t>
      </w:r>
      <w:r>
        <w:rPr>
          <w:color w:val="FF0000"/>
          <w:szCs w:val="20"/>
          <w:highlight w:val="yellow"/>
        </w:rPr>
        <w:t>(doplní dodavatel)</w:t>
      </w:r>
    </w:p>
    <w:p w14:paraId="691DD4D9" w14:textId="77777777" w:rsidR="00344E00" w:rsidRDefault="00344E00" w:rsidP="00344E00">
      <w:pPr>
        <w:rPr>
          <w:b/>
          <w:bCs/>
        </w:rPr>
      </w:pPr>
    </w:p>
    <w:p w14:paraId="387B716F" w14:textId="77777777" w:rsidR="00344E00" w:rsidRDefault="00344E00" w:rsidP="00344E00">
      <w:pPr>
        <w:rPr>
          <w:b/>
          <w:bCs/>
        </w:rPr>
      </w:pPr>
    </w:p>
    <w:p w14:paraId="1432EE98" w14:textId="77777777" w:rsidR="00344E00" w:rsidRPr="001F0B21" w:rsidRDefault="00344E00" w:rsidP="00344E00">
      <w:pPr>
        <w:spacing w:after="200" w:line="276" w:lineRule="auto"/>
        <w:rPr>
          <w:rFonts w:cs="Arial"/>
          <w:b/>
          <w:szCs w:val="20"/>
        </w:rPr>
      </w:pPr>
      <w:bookmarkStart w:id="4" w:name="_Hlk94620657"/>
      <w:r w:rsidRPr="001F0B21">
        <w:rPr>
          <w:rFonts w:cs="Arial"/>
          <w:b/>
          <w:color w:val="0000FF"/>
          <w:szCs w:val="20"/>
        </w:rPr>
        <w:t xml:space="preserve">Kybernetická bezpečnost </w:t>
      </w:r>
    </w:p>
    <w:p w14:paraId="00F7E9E1" w14:textId="77777777" w:rsidR="00344E00" w:rsidRPr="001F0B21" w:rsidRDefault="00344E00" w:rsidP="00344E00">
      <w:pPr>
        <w:spacing w:after="200" w:line="276" w:lineRule="auto"/>
        <w:jc w:val="both"/>
        <w:rPr>
          <w:rFonts w:cs="Arial"/>
          <w:szCs w:val="20"/>
        </w:rPr>
      </w:pPr>
      <w:r w:rsidRPr="001F0B21">
        <w:rPr>
          <w:rFonts w:cs="Arial"/>
          <w:szCs w:val="20"/>
        </w:rPr>
        <w:t>Oblastní nemocnice Náchod a.s. (ONN) je dle Zákona č.181/2014 Sb. o kybernetické bezpečnosti (ZKB) provozovatelem základní služby: Poskytování zdravotních služeb. </w:t>
      </w:r>
    </w:p>
    <w:p w14:paraId="41D41A1B" w14:textId="77777777" w:rsidR="00344E00" w:rsidRPr="001F0B21" w:rsidRDefault="00344E00" w:rsidP="00344E00">
      <w:pPr>
        <w:jc w:val="both"/>
        <w:rPr>
          <w:rFonts w:cs="Arial"/>
          <w:szCs w:val="20"/>
        </w:rPr>
      </w:pPr>
      <w:r w:rsidRPr="001F0B21">
        <w:rPr>
          <w:rFonts w:cs="Arial"/>
          <w:szCs w:val="20"/>
        </w:rPr>
        <w:t>Dodávaný systém musí splňovat požadavky ZKB a navazujících předpisů, zejména vyhlášky č. 82/2018 Sb. o bezpečnostních opatřeních, kybernetických bezpečnostních incidentech</w:t>
      </w:r>
      <w:r>
        <w:rPr>
          <w:rFonts w:cs="Arial"/>
          <w:szCs w:val="20"/>
        </w:rPr>
        <w:t>.</w:t>
      </w:r>
    </w:p>
    <w:bookmarkEnd w:id="4"/>
    <w:p w14:paraId="00FA4E96" w14:textId="77777777" w:rsidR="00344E00" w:rsidRPr="006C6F27" w:rsidRDefault="00344E00" w:rsidP="00344E00">
      <w:pPr>
        <w:rPr>
          <w:b/>
          <w:bCs/>
        </w:rPr>
      </w:pPr>
    </w:p>
    <w:p w14:paraId="0246DB35" w14:textId="77777777" w:rsidR="00344E00" w:rsidRDefault="00344E00"/>
    <w:sectPr w:rsidR="00344E0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562F0" w14:textId="77777777" w:rsidR="00344E00" w:rsidRDefault="00344E00" w:rsidP="00344E00">
      <w:r>
        <w:separator/>
      </w:r>
    </w:p>
  </w:endnote>
  <w:endnote w:type="continuationSeparator" w:id="0">
    <w:p w14:paraId="04FB1E43" w14:textId="77777777" w:rsidR="00344E00" w:rsidRDefault="00344E00" w:rsidP="00344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947516"/>
      <w:docPartObj>
        <w:docPartGallery w:val="Page Numbers (Bottom of Page)"/>
        <w:docPartUnique/>
      </w:docPartObj>
    </w:sdtPr>
    <w:sdtEndPr/>
    <w:sdtContent>
      <w:p w14:paraId="5DA6C2BB" w14:textId="1E6FE52D" w:rsidR="00344E00" w:rsidRDefault="00344E00">
        <w:pPr>
          <w:pStyle w:val="Zpat"/>
          <w:jc w:val="center"/>
        </w:pPr>
        <w:r>
          <w:fldChar w:fldCharType="begin"/>
        </w:r>
        <w:r>
          <w:instrText>PAGE   \* MERGEFORMAT</w:instrText>
        </w:r>
        <w:r>
          <w:fldChar w:fldCharType="separate"/>
        </w:r>
        <w:r>
          <w:t>2</w:t>
        </w:r>
        <w:r>
          <w:fldChar w:fldCharType="end"/>
        </w:r>
      </w:p>
    </w:sdtContent>
  </w:sdt>
  <w:p w14:paraId="4F499BAB" w14:textId="77777777" w:rsidR="00344E00" w:rsidRDefault="00344E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52DA1" w14:textId="77777777" w:rsidR="00344E00" w:rsidRDefault="00344E00" w:rsidP="00344E00">
      <w:r>
        <w:separator/>
      </w:r>
    </w:p>
  </w:footnote>
  <w:footnote w:type="continuationSeparator" w:id="0">
    <w:p w14:paraId="3DB987D1" w14:textId="77777777" w:rsidR="00344E00" w:rsidRDefault="00344E00" w:rsidP="00344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F089" w14:textId="2AFF45CE" w:rsidR="00344E00" w:rsidRPr="00C94821" w:rsidRDefault="00A02FAD" w:rsidP="00344E00">
    <w:pPr>
      <w:pStyle w:val="Zhlav"/>
    </w:pPr>
    <w:r>
      <w:rPr>
        <w:noProof/>
      </w:rPr>
      <w:drawing>
        <wp:inline distT="0" distB="0" distL="0" distR="0" wp14:anchorId="1E25BCF1" wp14:editId="28CE1982">
          <wp:extent cx="5438775" cy="908261"/>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0784" cy="910266"/>
                  </a:xfrm>
                  <a:prstGeom prst="rect">
                    <a:avLst/>
                  </a:prstGeom>
                  <a:noFill/>
                  <a:ln>
                    <a:noFill/>
                  </a:ln>
                </pic:spPr>
              </pic:pic>
            </a:graphicData>
          </a:graphic>
        </wp:inline>
      </w:drawing>
    </w:r>
  </w:p>
  <w:p w14:paraId="28190D61" w14:textId="77777777" w:rsidR="00344E00" w:rsidRDefault="00344E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B1445"/>
    <w:multiLevelType w:val="hybridMultilevel"/>
    <w:tmpl w:val="8CE83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B4D515E"/>
    <w:multiLevelType w:val="hybridMultilevel"/>
    <w:tmpl w:val="D23A80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32B03D9F"/>
    <w:multiLevelType w:val="hybridMultilevel"/>
    <w:tmpl w:val="9E7206B8"/>
    <w:lvl w:ilvl="0" w:tplc="26FCF092">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7520860"/>
    <w:multiLevelType w:val="hybridMultilevel"/>
    <w:tmpl w:val="91E216B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297551D"/>
    <w:multiLevelType w:val="hybridMultilevel"/>
    <w:tmpl w:val="BC188560"/>
    <w:lvl w:ilvl="0" w:tplc="CC8482A6">
      <w:numFmt w:val="bullet"/>
      <w:lvlText w:val="-"/>
      <w:lvlJc w:val="left"/>
      <w:pPr>
        <w:ind w:left="720" w:hanging="360"/>
      </w:pPr>
      <w:rPr>
        <w:rFonts w:ascii="Calibri" w:eastAsia="Calibri" w:hAnsi="Calibri" w:cs="Calibri" w:hint="default"/>
      </w:rPr>
    </w:lvl>
    <w:lvl w:ilvl="1" w:tplc="CC8482A6">
      <w:numFmt w:val="bullet"/>
      <w:lvlText w:val="-"/>
      <w:lvlJc w:val="left"/>
      <w:pPr>
        <w:ind w:left="1440" w:hanging="360"/>
      </w:pPr>
      <w:rPr>
        <w:rFonts w:ascii="Calibri" w:eastAsia="Calibr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40D73C4"/>
    <w:multiLevelType w:val="hybridMultilevel"/>
    <w:tmpl w:val="D800195E"/>
    <w:lvl w:ilvl="0" w:tplc="E3B898C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D936FEB"/>
    <w:multiLevelType w:val="hybridMultilevel"/>
    <w:tmpl w:val="8F22B348"/>
    <w:lvl w:ilvl="0" w:tplc="36861450">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3877931">
    <w:abstractNumId w:val="3"/>
  </w:num>
  <w:num w:numId="2" w16cid:durableId="1355644827">
    <w:abstractNumId w:val="2"/>
  </w:num>
  <w:num w:numId="3" w16cid:durableId="419719402">
    <w:abstractNumId w:val="4"/>
  </w:num>
  <w:num w:numId="4" w16cid:durableId="1323460769">
    <w:abstractNumId w:val="1"/>
  </w:num>
  <w:num w:numId="5" w16cid:durableId="281498997">
    <w:abstractNumId w:val="5"/>
  </w:num>
  <w:num w:numId="6" w16cid:durableId="1646012497">
    <w:abstractNumId w:val="6"/>
  </w:num>
  <w:num w:numId="7" w16cid:durableId="900942002">
    <w:abstractNumId w:val="0"/>
  </w:num>
  <w:num w:numId="8" w16cid:durableId="8953178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E00"/>
    <w:rsid w:val="00024052"/>
    <w:rsid w:val="00035745"/>
    <w:rsid w:val="000962DD"/>
    <w:rsid w:val="000D2848"/>
    <w:rsid w:val="000E3F67"/>
    <w:rsid w:val="00102D28"/>
    <w:rsid w:val="0011111A"/>
    <w:rsid w:val="00124470"/>
    <w:rsid w:val="0013386C"/>
    <w:rsid w:val="001361B7"/>
    <w:rsid w:val="001A4508"/>
    <w:rsid w:val="001C3B79"/>
    <w:rsid w:val="001C5D95"/>
    <w:rsid w:val="001F58C4"/>
    <w:rsid w:val="00207187"/>
    <w:rsid w:val="0021036F"/>
    <w:rsid w:val="00214B81"/>
    <w:rsid w:val="002233A9"/>
    <w:rsid w:val="00234A83"/>
    <w:rsid w:val="0025209E"/>
    <w:rsid w:val="00254CD8"/>
    <w:rsid w:val="00271730"/>
    <w:rsid w:val="002B1523"/>
    <w:rsid w:val="002B1855"/>
    <w:rsid w:val="002C2AD1"/>
    <w:rsid w:val="002C57ED"/>
    <w:rsid w:val="002D4FDE"/>
    <w:rsid w:val="002F7FE7"/>
    <w:rsid w:val="003162D5"/>
    <w:rsid w:val="00331E61"/>
    <w:rsid w:val="00344E00"/>
    <w:rsid w:val="00384F84"/>
    <w:rsid w:val="003E1C53"/>
    <w:rsid w:val="00497E78"/>
    <w:rsid w:val="004A0646"/>
    <w:rsid w:val="004D2320"/>
    <w:rsid w:val="00515970"/>
    <w:rsid w:val="005430DC"/>
    <w:rsid w:val="005508C9"/>
    <w:rsid w:val="005B7483"/>
    <w:rsid w:val="005F16B1"/>
    <w:rsid w:val="006534C2"/>
    <w:rsid w:val="00667825"/>
    <w:rsid w:val="00683DB5"/>
    <w:rsid w:val="006949B0"/>
    <w:rsid w:val="006E11A2"/>
    <w:rsid w:val="006E7CA3"/>
    <w:rsid w:val="007303B0"/>
    <w:rsid w:val="00730E15"/>
    <w:rsid w:val="007321ED"/>
    <w:rsid w:val="007F24C1"/>
    <w:rsid w:val="007F253B"/>
    <w:rsid w:val="00802944"/>
    <w:rsid w:val="0080717D"/>
    <w:rsid w:val="00815FE5"/>
    <w:rsid w:val="0082790F"/>
    <w:rsid w:val="0086775C"/>
    <w:rsid w:val="008778AB"/>
    <w:rsid w:val="00924040"/>
    <w:rsid w:val="00926EA0"/>
    <w:rsid w:val="009B40DC"/>
    <w:rsid w:val="00A02FAD"/>
    <w:rsid w:val="00A07F12"/>
    <w:rsid w:val="00A1356F"/>
    <w:rsid w:val="00B27B18"/>
    <w:rsid w:val="00B87382"/>
    <w:rsid w:val="00B924B2"/>
    <w:rsid w:val="00BD21AF"/>
    <w:rsid w:val="00BF3DB0"/>
    <w:rsid w:val="00C01590"/>
    <w:rsid w:val="00C27360"/>
    <w:rsid w:val="00C523E2"/>
    <w:rsid w:val="00C70E61"/>
    <w:rsid w:val="00C87D90"/>
    <w:rsid w:val="00C920C0"/>
    <w:rsid w:val="00C97E95"/>
    <w:rsid w:val="00CB77F8"/>
    <w:rsid w:val="00CE6ACC"/>
    <w:rsid w:val="00D008FB"/>
    <w:rsid w:val="00DC7AD4"/>
    <w:rsid w:val="00DD0633"/>
    <w:rsid w:val="00DF1AED"/>
    <w:rsid w:val="00DF7302"/>
    <w:rsid w:val="00ED63D1"/>
    <w:rsid w:val="00F02DB5"/>
    <w:rsid w:val="00F114CC"/>
    <w:rsid w:val="00F51825"/>
    <w:rsid w:val="00FC05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7F207"/>
  <w15:docId w15:val="{B9B2A630-214D-41D7-ABC8-962A71DC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4E00"/>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44E00"/>
    <w:pPr>
      <w:tabs>
        <w:tab w:val="center" w:pos="4536"/>
        <w:tab w:val="right" w:pos="9072"/>
      </w:tabs>
    </w:pPr>
  </w:style>
  <w:style w:type="character" w:customStyle="1" w:styleId="ZhlavChar">
    <w:name w:val="Záhlaví Char"/>
    <w:basedOn w:val="Standardnpsmoodstavce"/>
    <w:link w:val="Zhlav"/>
    <w:uiPriority w:val="99"/>
    <w:rsid w:val="00344E00"/>
  </w:style>
  <w:style w:type="paragraph" w:styleId="Zpat">
    <w:name w:val="footer"/>
    <w:basedOn w:val="Normln"/>
    <w:link w:val="ZpatChar"/>
    <w:uiPriority w:val="99"/>
    <w:unhideWhenUsed/>
    <w:rsid w:val="00344E00"/>
    <w:pPr>
      <w:tabs>
        <w:tab w:val="center" w:pos="4536"/>
        <w:tab w:val="right" w:pos="9072"/>
      </w:tabs>
    </w:pPr>
  </w:style>
  <w:style w:type="character" w:customStyle="1" w:styleId="ZpatChar">
    <w:name w:val="Zápatí Char"/>
    <w:basedOn w:val="Standardnpsmoodstavce"/>
    <w:link w:val="Zpat"/>
    <w:uiPriority w:val="99"/>
    <w:rsid w:val="00344E00"/>
  </w:style>
  <w:style w:type="paragraph" w:styleId="Odstavecseseznamem">
    <w:name w:val="List Paragraph"/>
    <w:basedOn w:val="Normln"/>
    <w:uiPriority w:val="34"/>
    <w:qFormat/>
    <w:rsid w:val="00344E00"/>
    <w:pPr>
      <w:ind w:left="708"/>
    </w:pPr>
  </w:style>
  <w:style w:type="table" w:styleId="Mkatabulky">
    <w:name w:val="Table Grid"/>
    <w:basedOn w:val="Normlntabulka"/>
    <w:uiPriority w:val="59"/>
    <w:rsid w:val="004D2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26EA0"/>
    <w:rPr>
      <w:sz w:val="16"/>
      <w:szCs w:val="16"/>
    </w:rPr>
  </w:style>
  <w:style w:type="paragraph" w:styleId="Textkomente">
    <w:name w:val="annotation text"/>
    <w:basedOn w:val="Normln"/>
    <w:link w:val="TextkomenteChar"/>
    <w:uiPriority w:val="99"/>
    <w:semiHidden/>
    <w:unhideWhenUsed/>
    <w:rsid w:val="00926EA0"/>
    <w:rPr>
      <w:szCs w:val="20"/>
    </w:rPr>
  </w:style>
  <w:style w:type="character" w:customStyle="1" w:styleId="TextkomenteChar">
    <w:name w:val="Text komentáře Char"/>
    <w:basedOn w:val="Standardnpsmoodstavce"/>
    <w:link w:val="Textkomente"/>
    <w:uiPriority w:val="99"/>
    <w:semiHidden/>
    <w:rsid w:val="00926EA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26EA0"/>
    <w:rPr>
      <w:b/>
      <w:bCs/>
    </w:rPr>
  </w:style>
  <w:style w:type="character" w:customStyle="1" w:styleId="PedmtkomenteChar">
    <w:name w:val="Předmět komentáře Char"/>
    <w:basedOn w:val="TextkomenteChar"/>
    <w:link w:val="Pedmtkomente"/>
    <w:uiPriority w:val="99"/>
    <w:semiHidden/>
    <w:rsid w:val="00926EA0"/>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271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2D742-B642-4497-98A3-BA29B8A4D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748</Words>
  <Characters>4418</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Kapustová</dc:creator>
  <cp:keywords/>
  <dc:description/>
  <cp:lastModifiedBy>Michaela Kapustová</cp:lastModifiedBy>
  <cp:revision>5</cp:revision>
  <dcterms:created xsi:type="dcterms:W3CDTF">2023-05-03T11:44:00Z</dcterms:created>
  <dcterms:modified xsi:type="dcterms:W3CDTF">2023-05-29T12:21:00Z</dcterms:modified>
</cp:coreProperties>
</file>