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AE48" w14:textId="77777777" w:rsidR="009819C4" w:rsidRDefault="009819C4">
      <w:pPr>
        <w:suppressAutoHyphens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819C4">
        <w:rPr>
          <w:rFonts w:ascii="Times New Roman" w:hAnsi="Times New Roman" w:cs="Times New Roman"/>
          <w:b/>
          <w:color w:val="002060"/>
          <w:sz w:val="28"/>
          <w:szCs w:val="28"/>
        </w:rPr>
        <w:t>„Spotřební materiál a reagencie s výpůjčkou analyzátoru pro analýzu volných lehkých řetězců kappa a lambda“</w:t>
      </w:r>
    </w:p>
    <w:p w14:paraId="463BBF33" w14:textId="77777777" w:rsidR="009819C4" w:rsidRPr="009819C4" w:rsidRDefault="009819C4">
      <w:pPr>
        <w:suppressAutoHyphens w:val="0"/>
        <w:spacing w:after="200" w:line="276" w:lineRule="auto"/>
        <w:jc w:val="center"/>
        <w:textAlignment w:val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EEA54C9" w14:textId="2EC395D0" w:rsidR="009819C4" w:rsidRPr="009819C4" w:rsidRDefault="00ED6E30" w:rsidP="009819C4">
      <w:pPr>
        <w:suppressAutoHyphens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9819C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Technická specifikace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1276"/>
        <w:gridCol w:w="2552"/>
      </w:tblGrid>
      <w:tr w:rsidR="00B75376" w14:paraId="52C3EDF8" w14:textId="77777777" w:rsidTr="00FD123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5D44" w14:textId="2B8B0353" w:rsidR="00B75376" w:rsidRDefault="00B75376">
            <w:pPr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Přístroj: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B09B" w14:textId="68CBAB12" w:rsidR="00B75376" w:rsidRDefault="00B7537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Účastníkem nabízená hodnota</w:t>
            </w:r>
          </w:p>
        </w:tc>
      </w:tr>
      <w:tr w:rsidR="00B75376" w14:paraId="704D3B6D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6645" w14:textId="6C865B23" w:rsidR="00B75376" w:rsidRPr="00B75376" w:rsidRDefault="00B75376">
            <w:pPr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B7537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Dodavatel: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FFE8" w14:textId="77777777" w:rsidR="00B75376" w:rsidRPr="00D37001" w:rsidRDefault="00B7537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75376" w14:paraId="45F44E6C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9A1A" w14:textId="0324C9B9" w:rsidR="00B75376" w:rsidRPr="00B75376" w:rsidRDefault="00B75376">
            <w:pPr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B7537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Výrobce: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148D" w14:textId="77777777" w:rsidR="00B75376" w:rsidRPr="00D37001" w:rsidRDefault="00B7537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75376" w14:paraId="3AE7B168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5FF9" w14:textId="7479C2EB" w:rsidR="00B75376" w:rsidRPr="00B75376" w:rsidRDefault="00B75376">
            <w:pPr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B75376"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Model: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307A" w14:textId="77777777" w:rsidR="00B75376" w:rsidRPr="00D37001" w:rsidRDefault="00B7537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75376" w14:paraId="1F2D9AB3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C562" w14:textId="77777777" w:rsidR="00B75376" w:rsidRDefault="00B75376" w:rsidP="00B75376">
            <w:pPr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</w:p>
          <w:p w14:paraId="64401B96" w14:textId="44C1F8B9" w:rsidR="00B75376" w:rsidRDefault="00B75376" w:rsidP="00B75376">
            <w:pPr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>Požadavky na reagencie a spotřební materiál: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304C" w14:textId="606FACEB" w:rsidR="00B75376" w:rsidRDefault="00B75376" w:rsidP="00B7537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Plní požadavek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00"/>
              </w:rPr>
              <w:t>(ANO/NE)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8F2D" w14:textId="374999CD" w:rsidR="00B75376" w:rsidRDefault="00B75376" w:rsidP="00B7537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Odkaz na dokument účastníka k ověření tvrzení</w:t>
            </w:r>
          </w:p>
        </w:tc>
      </w:tr>
      <w:tr w:rsidR="00B75376" w14:paraId="0DCDF680" w14:textId="77777777" w:rsidTr="00D37001">
        <w:trPr>
          <w:trHeight w:val="138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1DC2" w14:textId="77777777" w:rsidR="00B75376" w:rsidRDefault="00B75376" w:rsidP="00A7226A">
            <w:pPr>
              <w:spacing w:after="120"/>
              <w:jc w:val="both"/>
              <w:textAlignment w:val="auto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Nabízené reagencie a spotřební materiál </w:t>
            </w:r>
            <w:r>
              <w:rPr>
                <w:rFonts w:ascii="Times New Roman" w:hAnsi="Times New Roman" w:cs="Times New Roman"/>
                <w:spacing w:val="-3"/>
                <w:w w:val="105"/>
                <w:sz w:val="19"/>
                <w:szCs w:val="19"/>
              </w:rPr>
              <w:t>CE-IVD a IVDR – shoda s nařízením Evropského parlamentu a Rady (EU) 2017/746, ve znění pozdějších změn (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shoda s požadavky 98/79/EC), které požaduje, aby vyhovovaly všem platným souvisejícím legislativním předpisům. Realizované věcné plnění musí vyhovět kvalitativním požadavkům potřebným pro akreditaci laboratorních pracovišť;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6D12" w14:textId="77777777" w:rsidR="00B75376" w:rsidRDefault="00B75376" w:rsidP="00B75376">
            <w:pPr>
              <w:pStyle w:val="Standard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4452" w14:textId="77777777" w:rsidR="00B75376" w:rsidRDefault="00B75376" w:rsidP="00B75376">
            <w:pPr>
              <w:pStyle w:val="Standard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376" w14:paraId="41EA0C5E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57F4" w14:textId="77777777" w:rsidR="00B75376" w:rsidRDefault="00B75376" w:rsidP="00A7226A">
            <w:pPr>
              <w:pStyle w:val="Standard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Zadavatel požaduje dodávat validované diagnostické soupravy, dodavatel poskytne a bude dále průběžně poskytovat aktuální validační protokoly materiálů a metodik;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021C" w14:textId="77777777" w:rsidR="00B75376" w:rsidRDefault="00B75376" w:rsidP="00B7537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B72C" w14:textId="77777777" w:rsidR="00B75376" w:rsidRDefault="00B75376" w:rsidP="00B75376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376" w14:paraId="40F9BA62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55E1" w14:textId="77777777" w:rsidR="00B75376" w:rsidRDefault="00B75376" w:rsidP="00A7226A">
            <w:pPr>
              <w:pStyle w:val="Standard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Kontrolní materiál minimálně na dvou hladinách (možnost nezávislého výrobce);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6982" w14:textId="77777777" w:rsidR="00B75376" w:rsidRDefault="00B75376" w:rsidP="00B75376">
            <w:pPr>
              <w:pStyle w:val="Standard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9916" w14:textId="77777777" w:rsidR="00B75376" w:rsidRDefault="00B75376" w:rsidP="00B75376">
            <w:pPr>
              <w:pStyle w:val="Standard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376" w14:paraId="0FDB1227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4E77" w14:textId="30B55424" w:rsidR="00B75376" w:rsidRDefault="00B75376" w:rsidP="00A7226A">
            <w:pPr>
              <w:pStyle w:val="Standard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75376">
              <w:rPr>
                <w:rFonts w:ascii="Times New Roman" w:hAnsi="Times New Roman" w:cs="Times New Roman"/>
                <w:sz w:val="19"/>
                <w:szCs w:val="19"/>
              </w:rPr>
              <w:t>Diagnostika musí umožnit identifikaci použitého materiálu čárovými kódy.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F076" w14:textId="77777777" w:rsidR="00B75376" w:rsidRDefault="00B75376" w:rsidP="00B75376">
            <w:pPr>
              <w:pStyle w:val="Standard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D8C6" w14:textId="77777777" w:rsidR="00B75376" w:rsidRDefault="00B75376" w:rsidP="00B75376">
            <w:pPr>
              <w:pStyle w:val="Standard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376" w14:paraId="3BBC7D61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0FD4" w14:textId="2359CEB8" w:rsidR="00B75376" w:rsidRDefault="00B75376" w:rsidP="00A7226A">
            <w:pPr>
              <w:pStyle w:val="Standard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4503">
              <w:rPr>
                <w:rFonts w:ascii="Times New Roman" w:hAnsi="Times New Roman" w:cs="Times New Roman"/>
                <w:sz w:val="19"/>
                <w:szCs w:val="19"/>
              </w:rPr>
              <w:t xml:space="preserve">Exspirace dodávaných reagencií minimálně </w:t>
            </w:r>
            <w:r w:rsidR="00030F48" w:rsidRPr="00A34503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A3450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30F48" w:rsidRPr="00A34503">
              <w:rPr>
                <w:rFonts w:ascii="Times New Roman" w:hAnsi="Times New Roman" w:cs="Times New Roman"/>
                <w:sz w:val="19"/>
                <w:szCs w:val="19"/>
              </w:rPr>
              <w:t>měsíců</w:t>
            </w:r>
            <w:r w:rsidRPr="00A34503">
              <w:rPr>
                <w:rFonts w:ascii="Times New Roman" w:hAnsi="Times New Roman" w:cs="Times New Roman"/>
                <w:sz w:val="19"/>
                <w:szCs w:val="19"/>
              </w:rPr>
              <w:t xml:space="preserve"> ode dne doručení na pracoviště;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03C5" w14:textId="77777777" w:rsidR="00B75376" w:rsidRDefault="00B75376" w:rsidP="00B7537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688C" w14:textId="77777777" w:rsidR="00B75376" w:rsidRDefault="00B75376" w:rsidP="00B75376">
            <w:pPr>
              <w:pStyle w:val="Standard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376" w14:paraId="2D9C9999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C6C2" w14:textId="5FBC2F74" w:rsidR="00B75376" w:rsidRDefault="00B75376" w:rsidP="00A7226A">
            <w:pPr>
              <w:pStyle w:val="Standard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Dodavatel / výrobce má zaveden funkční systém vigilance </w:t>
            </w:r>
            <w:r w:rsidR="00751DB6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sledování všech dodávaných ZP IVD výrobků ke konečnému uživateli, neprodlené akce a reakce v souvislosti s vigilančními kroky výrobců a SUKL se všemi povinnostmi a následky z jejich neplnění (např. Náhrady škody v případě poškození pacienta atd., viz zákon č. 268/2014 Sb., ve znění pozdějších předpisů);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D61E" w14:textId="77777777" w:rsidR="00B75376" w:rsidRDefault="00B75376" w:rsidP="00B7537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2E58" w14:textId="77777777" w:rsidR="00B75376" w:rsidRDefault="00B75376" w:rsidP="00B75376">
            <w:pPr>
              <w:pStyle w:val="Standard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376" w14:paraId="036F0161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3BD3" w14:textId="77777777" w:rsidR="00B75376" w:rsidRDefault="00B75376" w:rsidP="00A7226A">
            <w:pPr>
              <w:pStyle w:val="Standard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Reagenční a spotřební materiál musí být plně kompatibilní s vypůjčeným analyzátorem;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0529" w14:textId="77777777" w:rsidR="00B75376" w:rsidRDefault="00B75376" w:rsidP="00B75376">
            <w:pPr>
              <w:pStyle w:val="Standard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EB4E" w14:textId="77777777" w:rsidR="00B75376" w:rsidRDefault="00B75376" w:rsidP="00B75376">
            <w:pPr>
              <w:pStyle w:val="Standard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376" w14:paraId="5EC1839F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AB3F" w14:textId="77777777" w:rsidR="00B75376" w:rsidRDefault="00B75376" w:rsidP="00A7226A">
            <w:pPr>
              <w:pStyle w:val="Standard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Spotřební materiál i přístroj musí zadavateli zabezpečit podmínky pro plnění požadavků ČSN 15189 v aktuálním znění;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74E3" w14:textId="77777777" w:rsidR="00B75376" w:rsidRDefault="00B75376" w:rsidP="00B75376">
            <w:pPr>
              <w:pStyle w:val="Standard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22FA" w14:textId="77777777" w:rsidR="00B75376" w:rsidRDefault="00B75376" w:rsidP="00B75376">
            <w:pPr>
              <w:pStyle w:val="Standard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376" w14:paraId="2AD54EDC" w14:textId="77777777" w:rsidTr="00D37001">
        <w:trPr>
          <w:trHeight w:val="4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4A73" w14:textId="77777777" w:rsidR="00B75376" w:rsidRDefault="00B75376" w:rsidP="00A7226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Produktový list k nabízeným materiálům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E688" w14:textId="77777777" w:rsidR="00B75376" w:rsidRDefault="00B75376" w:rsidP="00B75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D78E" w14:textId="77777777" w:rsidR="00B75376" w:rsidRDefault="00B75376" w:rsidP="00B75376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75376" w14:paraId="12DA3890" w14:textId="77777777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1374" w14:textId="600E6F7F" w:rsidR="00B75376" w:rsidRDefault="00B75376" w:rsidP="00B75376">
            <w:pPr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u w:val="single"/>
                <w:lang w:eastAsia="en-US" w:bidi="ar-SA"/>
              </w:rPr>
              <w:t xml:space="preserve">Požadavky na vypůjčené 1 ks analyzátoru </w:t>
            </w:r>
          </w:p>
        </w:tc>
      </w:tr>
      <w:tr w:rsidR="00B75376" w14:paraId="77A3F081" w14:textId="7777777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A39C" w14:textId="77777777" w:rsidR="00B75376" w:rsidRDefault="00B75376" w:rsidP="00B75376">
            <w:pP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3E697376" w14:textId="77777777" w:rsidR="00B75376" w:rsidRDefault="00B75376" w:rsidP="00B75376"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Požadované minimální technické a uživatelské parametry a vlastnosti: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3CE6" w14:textId="77777777" w:rsidR="00B75376" w:rsidRDefault="00B75376" w:rsidP="00B75376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Plní požadavek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00"/>
              </w:rPr>
              <w:t>(ANO/NE)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24E4" w14:textId="77777777" w:rsidR="00B75376" w:rsidRDefault="00B75376" w:rsidP="00B75376">
            <w:pPr>
              <w:pStyle w:val="Standard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Odkaz na dokument účastníka k ověření tvrzení</w:t>
            </w:r>
          </w:p>
        </w:tc>
      </w:tr>
      <w:tr w:rsidR="00B75376" w14:paraId="41E3254E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6F1C" w14:textId="5A05F284" w:rsidR="00B75376" w:rsidRPr="008A38DF" w:rsidRDefault="008A38DF" w:rsidP="00B75376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Zadavatel požaduje výpůjčku stolního, nového, nerepasovaného, plně automatizovaného stolního kompaktního analyzátoru </w:t>
            </w:r>
            <w:r w:rsidR="009819C4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ne starším než s rokem výroby </w:t>
            </w: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v druhé polovině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74E4" w14:textId="77777777" w:rsidR="00B75376" w:rsidRDefault="00B75376" w:rsidP="00B753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21FF" w14:textId="77777777" w:rsidR="00B75376" w:rsidRDefault="00B75376" w:rsidP="00B75376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5D29ECA3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E9DE" w14:textId="7813EFE4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Plně automatický analyzátor pro analýzu speciálních proteinů, certifikovaný (vč. ovládacího SW v českém jazyce).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BCE5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6F76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17EEB4D3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E5D6D" w14:textId="77777777" w:rsidR="008A38DF" w:rsidRPr="008A38DF" w:rsidRDefault="008A38DF" w:rsidP="008A38DF">
            <w:pPr>
              <w:pStyle w:val="Bezmezer"/>
              <w:suppressAutoHyphens/>
              <w:jc w:val="both"/>
              <w:rPr>
                <w:rFonts w:ascii="Times New Roman" w:eastAsia="NSimSun" w:hAnsi="Times New Roman"/>
                <w:color w:val="161616"/>
                <w:kern w:val="3"/>
                <w:sz w:val="19"/>
                <w:szCs w:val="19"/>
                <w:lang w:eastAsia="zh-CN" w:bidi="hi-IN"/>
              </w:rPr>
            </w:pPr>
            <w:r w:rsidRPr="008A38DF">
              <w:rPr>
                <w:rFonts w:ascii="Times New Roman" w:eastAsia="NSimSun" w:hAnsi="Times New Roman"/>
                <w:color w:val="161616"/>
                <w:kern w:val="3"/>
                <w:sz w:val="19"/>
                <w:szCs w:val="19"/>
                <w:lang w:eastAsia="zh-CN" w:bidi="hi-IN"/>
              </w:rPr>
              <w:t xml:space="preserve">Měřené parametry: </w:t>
            </w:r>
          </w:p>
          <w:p w14:paraId="2992EBC7" w14:textId="77777777" w:rsidR="008A38DF" w:rsidRPr="008A38DF" w:rsidRDefault="008A38DF" w:rsidP="008A38DF">
            <w:pPr>
              <w:spacing w:line="276" w:lineRule="auto"/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Volné lehké řetězce kappa, volné lehké řetězce lambda pomocí polyklonálních protilátek, měření těžkých řetězců (IgG kappa, IgG lambda, IgA kappa, IgA lambda, IgM kappa, IgM lambda). </w:t>
            </w:r>
          </w:p>
          <w:p w14:paraId="3E8BB3C2" w14:textId="046BE838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V případě otevřeného systému – dodat aplikační protokoly, včetně validačních protokolů pro různé materiály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E143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7B43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2D50F211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2346" w14:textId="4F12A385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Materiál sérum, plazma, moč, mozkomíšní mok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0A26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25DA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0B6BBCCE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B5EF" w14:textId="191804C7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Typ měření: turbidimetrie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5795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CD16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58893130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EF52" w14:textId="497C0981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Automatické ředění vzorku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F761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0EDE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513815C9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16F82" w14:textId="36857115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lastRenderedPageBreak/>
              <w:t xml:space="preserve">Kapacita reagencií na palubě minimálně 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D8D9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B1CF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317A9551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BE3A" w14:textId="384FF697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Kontinuální vkládání reagencií, pomocných reagencií, vzorků a kyvet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934E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082E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3A1783F1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1EA4" w14:textId="6EB3CF07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Chladící prostor pro reagencie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47BB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95B9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1F4305C0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D950F" w14:textId="031A2706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Načítání informací o reagenciích včetně kalibrátoru, případně kontrolních vzorků automaticky přes čárové kódy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387D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FDA9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4E8E6C45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93B6" w14:textId="1D57BED0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Možnost značení kalibrátorů a kontrolních materiálů pomocí čárového kódu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A933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DB93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293A4CC3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730D" w14:textId="4A3FFCCB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Kalibrace – jeden kalibrátor s automatickým naředěním křivky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8759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4210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00A61823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8C5D" w14:textId="13D1D050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V případě otevřeného systému při použití stejné šarže reagencií, bez nutnosti rekalibrace při vložení další kazety s reagenciemi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961D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B791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70BE347C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32FCC" w14:textId="478AD181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Automatická kontrola nadbytku antigenu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72BD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7707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47518F18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07D72" w14:textId="570576E2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Hlídání nelinearity vzorku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56C1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09DF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10977382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78D1" w14:textId="54279D44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Možnost využívat více aktivních křivek (různě šarže pro stejný analyt)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AF62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2B0E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10D33C61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F747" w14:textId="56D0E132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Možnost použití různých druhů zkumavek, pro malé objemy speciální zkumavky (kepy)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2958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0AE8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0B8E108F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FD67" w14:textId="384ABA42" w:rsid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Detekce hladiny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19AE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0A11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0AA25E2F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0461" w14:textId="7327FCE0" w:rsid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Počet kyvet v analyzátoru minimálně 100, jednorázové kyvety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F38C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3ACB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352532A2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3DBC9" w14:textId="56C856BD" w:rsid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Minimální spotřeba deionizované vody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7607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B360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152247EB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432A3" w14:textId="4A526314" w:rsid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Bez připojení na odpad a vodu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837C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1804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4503" w14:paraId="555EDBC1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287A" w14:textId="4C088CA3" w:rsidR="00A34503" w:rsidRPr="008A38DF" w:rsidRDefault="00A34503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Specifikace kvality vody dle doporučení výrobce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AFDA" w14:textId="77777777" w:rsidR="00A34503" w:rsidRDefault="00A34503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2EBE" w14:textId="77777777" w:rsidR="00A34503" w:rsidRDefault="00A34503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1ED2832A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DBC97" w14:textId="53511EAE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Jednoduchá a rychlá údržba, částečně automatická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CBDD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C369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5EBE01DB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AB04" w14:textId="70CCB928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SW v českém jazyce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7A3E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626F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3A6B4FFD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1DFA" w14:textId="7E2CAF97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Dotyková obrazovka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DD7B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9378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668CE1A0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7E3E" w14:textId="77777777" w:rsidR="008A38DF" w:rsidRPr="008A38DF" w:rsidRDefault="008A38DF" w:rsidP="008A38DF">
            <w:pPr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Promíchávání vzorků před měřením, pokud je výrobcem promíchávání před měřením požadováno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E87E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E6B1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70C6B777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A259" w14:textId="77777777" w:rsidR="008A38DF" w:rsidRDefault="008A38DF" w:rsidP="008A38DF">
            <w:pPr>
              <w:pStyle w:val="Standard"/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Možnost zálohování primárních dat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0766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B071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05CB6AB9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36F6" w14:textId="77777777" w:rsidR="008A38DF" w:rsidRDefault="008A38DF" w:rsidP="008A38DF">
            <w:r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Obousměrná komunikace s LIS – připojení do LIS (openlims Stapro) je součástí nabídky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300B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E413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1E0D35A6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D709" w14:textId="188142EF" w:rsidR="008A38DF" w:rsidRPr="00EF3DD0" w:rsidRDefault="008A38DF" w:rsidP="008A38DF">
            <w:pPr>
              <w:pStyle w:val="Standard"/>
            </w:pPr>
            <w:r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Úspěšnost metod v systému externího hodnocení kvality (SEKK), vlastní hodnocená skupina v SEKK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3BC0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1988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62D742F4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E077" w14:textId="7371498D" w:rsidR="008A38DF" w:rsidRDefault="008A38DF" w:rsidP="008A38DF">
            <w:pPr>
              <w:pStyle w:val="Standard"/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PC adekvátního výkonu a ovládací SW pro správu a obsluhu systému, včetně monitoru, klávesnice, myši, čtečky čárových kódů a tiskárny.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3A27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CCFF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6D02AD63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127C" w14:textId="5C1FA6E0" w:rsidR="008A38DF" w:rsidRDefault="008A38DF" w:rsidP="008A38DF">
            <w:pPr>
              <w:pStyle w:val="Standard"/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 w:rsidRPr="008A38DF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Záložní napájecí zdroj UPS takový, aby při výpadku el. proudu došlo k bezpečnému dokončení analýzy, včetně uložení výsledků.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211F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88B1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0FAF06FC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8981" w14:textId="1F6B8C88" w:rsidR="008A38DF" w:rsidRDefault="008A38DF" w:rsidP="008A38DF">
            <w:pPr>
              <w:pStyle w:val="Standard"/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Po celou dobu výpůjčky plná servisní a aplikační podpora zdarma (práce, doprava a náhradní díly v rámci standardních servisních zásahů, provádění ročních BTK včetně materiálu doporučeného výrobcem k výměně)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D2F5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EA94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65A3F6DE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6F31" w14:textId="42058161" w:rsidR="008A38DF" w:rsidRDefault="008A38DF" w:rsidP="008A38DF">
            <w:pPr>
              <w:pStyle w:val="Standard"/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Nástup na opravu min. do </w:t>
            </w:r>
            <w:r w:rsidR="0074400A"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24</w:t>
            </w:r>
            <w:r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 xml:space="preserve"> hodin od nahlášení závady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A1DD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66E4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36923B68" w14:textId="77777777" w:rsidTr="00D3700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8BC5" w14:textId="77777777" w:rsidR="008A38DF" w:rsidRDefault="008A38DF" w:rsidP="008A38DF">
            <w:pPr>
              <w:pStyle w:val="Standard"/>
              <w:rPr>
                <w:rFonts w:ascii="Times New Roman" w:hAnsi="Times New Roman" w:cs="Times New Roman"/>
                <w:color w:val="16161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61616"/>
                <w:sz w:val="19"/>
                <w:szCs w:val="19"/>
              </w:rPr>
              <w:t>Bezplatné zaškolení laboratorního personálu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FEB3" w14:textId="77777777" w:rsidR="008A38DF" w:rsidRDefault="008A38DF" w:rsidP="008A38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F5B7" w14:textId="77777777" w:rsidR="008A38DF" w:rsidRDefault="008A38DF" w:rsidP="008A38DF">
            <w:pPr>
              <w:pStyle w:val="Standard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8DF" w14:paraId="236385AB" w14:textId="77777777" w:rsidTr="009819C4">
        <w:trPr>
          <w:trHeight w:val="564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DB07" w14:textId="77777777" w:rsidR="008A38DF" w:rsidRDefault="008A38DF" w:rsidP="008A38DF">
            <w:pPr>
              <w:pStyle w:val="Zkladntext"/>
              <w:spacing w:after="0" w:line="276" w:lineRule="auto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Zadavatel dále informuje, že dodavateli (správci) stávajících systémů IT infrastruktury zadavatele jsou: </w:t>
            </w:r>
          </w:p>
          <w:p w14:paraId="2DCCC30D" w14:textId="5EA7C05B" w:rsidR="008A38DF" w:rsidRDefault="00A34503" w:rsidP="00A34503">
            <w:pPr>
              <w:pStyle w:val="Zkladntext"/>
              <w:spacing w:after="0" w:line="276" w:lineRule="auto"/>
              <w:jc w:val="both"/>
            </w:pPr>
            <w:r>
              <w:rPr>
                <w:b/>
                <w:bCs/>
                <w:sz w:val="19"/>
                <w:szCs w:val="19"/>
              </w:rPr>
              <w:t>FONS Open</w:t>
            </w:r>
            <w:r w:rsidR="001A2E40">
              <w:rPr>
                <w:b/>
                <w:bCs/>
                <w:sz w:val="19"/>
                <w:szCs w:val="19"/>
              </w:rPr>
              <w:t>LI</w:t>
            </w:r>
            <w:r>
              <w:rPr>
                <w:b/>
                <w:bCs/>
                <w:sz w:val="19"/>
                <w:szCs w:val="19"/>
              </w:rPr>
              <w:t>M</w:t>
            </w:r>
            <w:r w:rsidR="001A2E40">
              <w:rPr>
                <w:b/>
                <w:bCs/>
                <w:sz w:val="19"/>
                <w:szCs w:val="19"/>
              </w:rPr>
              <w:t>S</w:t>
            </w:r>
            <w:r>
              <w:rPr>
                <w:b/>
                <w:bCs/>
              </w:rPr>
              <w:t xml:space="preserve"> - </w:t>
            </w:r>
            <w:r w:rsidR="008A38DF">
              <w:rPr>
                <w:b/>
                <w:bCs/>
                <w:sz w:val="19"/>
                <w:szCs w:val="19"/>
              </w:rPr>
              <w:t>STAPRO s.r.o.,</w:t>
            </w:r>
            <w:r w:rsidR="008A38DF">
              <w:rPr>
                <w:sz w:val="19"/>
                <w:szCs w:val="19"/>
              </w:rPr>
              <w:t xml:space="preserve"> IČ: 13583531, sídlem Pernštýnské nám. 51, 530 02 Pardubice.</w:t>
            </w:r>
          </w:p>
        </w:tc>
      </w:tr>
      <w:tr w:rsidR="008A38DF" w14:paraId="27823E90" w14:textId="77777777" w:rsidTr="009819C4">
        <w:trPr>
          <w:trHeight w:val="1167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B096" w14:textId="77777777" w:rsidR="008A38DF" w:rsidRDefault="008A38DF" w:rsidP="008A38D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Oblastní nemocnice Náchod a.s. informuje, že je osobou povinnou a provozuje informační systém základní služby podle zákona č. 181/2014 Sb. o kybernetické bezpečnosti a o změně souvisejících zákonů (zákon o kybernetické bezpečnosti), dále pak podle vyhlášky č. 82/2018 Sb. o bezpečnostních opatřeních kybernetických bezpečnostních incidentech, reaktivních opatřeních náležitostech podání v oblasti kybernetické bezpečnosti a likvidaci dat (vyhláška o kybernetické bezpečnosti).</w:t>
            </w:r>
          </w:p>
        </w:tc>
      </w:tr>
      <w:tr w:rsidR="008A38DF" w14:paraId="00CC1B09" w14:textId="77777777" w:rsidTr="009819C4">
        <w:trPr>
          <w:trHeight w:val="347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EC82" w14:textId="77777777" w:rsidR="008A38DF" w:rsidRDefault="008A38DF" w:rsidP="008A38DF">
            <w:pPr>
              <w:pStyle w:val="Standard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Služby a zboží musí respektovat bezpečnostní opatření a relevantní požadavky na kybernetickou bezpečnost</w:t>
            </w:r>
          </w:p>
        </w:tc>
      </w:tr>
      <w:tr w:rsidR="008A38DF" w14:paraId="79EB83AD" w14:textId="77777777" w:rsidTr="003F2178">
        <w:trPr>
          <w:trHeight w:val="429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D9A6" w14:textId="05B890B0" w:rsidR="008A38DF" w:rsidRDefault="008A38DF" w:rsidP="008A38DF">
            <w:pPr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Účastník garantuje implementaci veškerých bezpečnostních opatření, která výše uvedená legislativa vyžaduje v rámci jeho celé nabídky a následné realizace smlouvy.</w:t>
            </w:r>
          </w:p>
        </w:tc>
      </w:tr>
      <w:tr w:rsidR="008A38DF" w14:paraId="48E70D69" w14:textId="77777777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8F66" w14:textId="77777777" w:rsidR="008A38DF" w:rsidRPr="00DC5FDD" w:rsidRDefault="008A38DF" w:rsidP="00DC5FDD">
            <w:pPr>
              <w:pStyle w:val="Standard"/>
              <w:ind w:left="3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5FDD">
              <w:rPr>
                <w:rFonts w:ascii="Times New Roman" w:hAnsi="Times New Roman" w:cs="Times New Roman"/>
                <w:sz w:val="19"/>
                <w:szCs w:val="19"/>
              </w:rPr>
              <w:t xml:space="preserve">Účastník zadávacího řízení je povinen dle pokynů zadávací dokumentace kompletně vyplnit níže uvedené tabulky s požadavky na předmět plnění a učinit je součástí svojí nabídky. Účastník pravdivě uvede do jednotlivých prázdných kolonek (zvýrazněné buňky), zda jím nabízené zařízení splňuje či nesplňuje v plném rozsahu uvedený požadavek </w:t>
            </w:r>
            <w:r w:rsidRPr="009819C4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(ANO/NE).</w:t>
            </w:r>
            <w:r w:rsidRPr="00DC5FDD">
              <w:rPr>
                <w:rFonts w:ascii="Times New Roman" w:hAnsi="Times New Roman" w:cs="Times New Roman"/>
                <w:sz w:val="19"/>
                <w:szCs w:val="19"/>
              </w:rPr>
              <w:t xml:space="preserve"> U parametrů, které jsou charakterizovány konkrétní kvantifikovatelnou hodnotou, je povinen tuto hodnotu uvést. Zadavatel je oprávněn si veškeré informace ověřit a vyžádat si předložení dokladů, které splnění parametrů jednoznačně dokládají.</w:t>
            </w:r>
          </w:p>
          <w:p w14:paraId="17B534EB" w14:textId="77777777" w:rsidR="008A38DF" w:rsidRPr="00DC5FDD" w:rsidRDefault="008A38DF" w:rsidP="00DC5FDD">
            <w:pPr>
              <w:pStyle w:val="Standard"/>
              <w:ind w:left="3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C5FDD">
              <w:rPr>
                <w:rFonts w:ascii="Times New Roman" w:hAnsi="Times New Roman" w:cs="Times New Roman"/>
                <w:sz w:val="19"/>
                <w:szCs w:val="19"/>
              </w:rPr>
              <w:t>Uvedené požadavky jsou nepodkročitelné, tzn., že jejich nesplnění bude posouzeno jako nesplnění technických požadavků na předmět plnění daných zadávací dokumentací a povede k vyloučení účastníka ze zadávacího řízení.</w:t>
            </w:r>
          </w:p>
          <w:p w14:paraId="1DBBCE53" w14:textId="77777777" w:rsidR="008A38DF" w:rsidRDefault="008A38DF" w:rsidP="00DC5FDD">
            <w:pPr>
              <w:pStyle w:val="Standard"/>
              <w:ind w:left="30"/>
              <w:jc w:val="both"/>
            </w:pPr>
            <w:r w:rsidRPr="00DC5FD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Dodavatel je oprávněn nabídnout zboží s jinými parametry za podmínky, že se jedná o parametry objektivně lepší, resp. srovnatelně výhodnější než základní vymezení zadavatele. Méně výhodný parametr se považuje za nesplnění požadavku, ledaže se vejde do přípustné odchylky nebo se jedná o číselný přepis, který bude objasněn.</w:t>
            </w:r>
          </w:p>
        </w:tc>
      </w:tr>
    </w:tbl>
    <w:p w14:paraId="62FA4504" w14:textId="77777777" w:rsidR="00AE3B08" w:rsidRDefault="00AE3B08">
      <w:pPr>
        <w:rPr>
          <w:rFonts w:ascii="Times New Roman" w:hAnsi="Times New Roman"/>
        </w:rPr>
      </w:pPr>
    </w:p>
    <w:p w14:paraId="36369C6C" w14:textId="42D807C6" w:rsidR="00AE3B08" w:rsidRDefault="008A38DF">
      <w:pPr>
        <w:suppressAutoHyphens w:val="0"/>
        <w:spacing w:line="276" w:lineRule="auto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u w:val="single"/>
          <w:lang w:eastAsia="en-US" w:bidi="ar-SA"/>
        </w:rPr>
        <w:t>Místo plnění:</w:t>
      </w:r>
    </w:p>
    <w:p w14:paraId="681B9946" w14:textId="64B4A67F" w:rsidR="00AE3B08" w:rsidRDefault="00ED6E30">
      <w:pPr>
        <w:tabs>
          <w:tab w:val="left" w:pos="1843"/>
        </w:tabs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OKBD </w:t>
      </w:r>
      <w:r w:rsidR="00751DB6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Pracoviště klinické biochemie a diagnostiky Náchod</w:t>
      </w:r>
      <w:r w:rsidR="00751DB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Bartoňova 951, 547 01 Náchod, </w:t>
      </w:r>
    </w:p>
    <w:p w14:paraId="1D95AA51" w14:textId="77777777" w:rsidR="00AE3B08" w:rsidRDefault="00AE3B0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1B3954F" w14:textId="77777777" w:rsidR="00AE3B08" w:rsidRDefault="00AE3B0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173ADCC" w14:textId="77777777" w:rsidR="00AE3B08" w:rsidRDefault="00AE3B0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DDF4A7E" w14:textId="77777777" w:rsidR="00AE3B08" w:rsidRDefault="00ED6E30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  <w:shd w:val="clear" w:color="auto" w:fill="FFFF00"/>
        </w:rPr>
        <w:t>V……………………dne……………………..</w:t>
      </w:r>
    </w:p>
    <w:p w14:paraId="3A39A661" w14:textId="77777777" w:rsidR="00AE3B08" w:rsidRDefault="00AE3B08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0B0B293" w14:textId="77777777" w:rsidR="00AE3B08" w:rsidRDefault="00AE3B08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5BF9B5A" w14:textId="77777777" w:rsidR="00AE3B08" w:rsidRDefault="00AE3B08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2B79F64" w14:textId="77777777" w:rsidR="00AE3B08" w:rsidRDefault="00AE3B08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96A950C" w14:textId="77777777" w:rsidR="00AE3B08" w:rsidRDefault="00ED6E30">
      <w:pPr>
        <w:pStyle w:val="Standard"/>
        <w:tabs>
          <w:tab w:val="left" w:pos="5103"/>
        </w:tabs>
      </w:pPr>
      <w:r>
        <w:rPr>
          <w:rFonts w:ascii="Times New Roman" w:hAnsi="Times New Roman" w:cs="Times New Roman"/>
          <w:sz w:val="20"/>
          <w:szCs w:val="20"/>
          <w:shd w:val="clear" w:color="auto" w:fill="FFFF00"/>
        </w:rPr>
        <w:t>……………………………………………….</w:t>
      </w:r>
    </w:p>
    <w:p w14:paraId="28E4BF68" w14:textId="77777777" w:rsidR="00AE3B08" w:rsidRDefault="00ED6E30">
      <w:pPr>
        <w:pStyle w:val="Standard"/>
        <w:tabs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oprávněné jednat jménem či za účastníka</w:t>
      </w:r>
    </w:p>
    <w:p w14:paraId="6A8FCEA6" w14:textId="77777777" w:rsidR="00AE3B08" w:rsidRDefault="00AE3B08">
      <w:pPr>
        <w:pStyle w:val="Standard"/>
        <w:rPr>
          <w:rFonts w:ascii="Times New Roman" w:hAnsi="Times New Roman" w:cs="Times New Roman"/>
          <w:sz w:val="20"/>
          <w:szCs w:val="20"/>
        </w:rPr>
      </w:pPr>
    </w:p>
    <w:sectPr w:rsidR="00AE3B08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DC2A" w14:textId="77777777" w:rsidR="00010577" w:rsidRDefault="00ED6E30">
      <w:r>
        <w:separator/>
      </w:r>
    </w:p>
  </w:endnote>
  <w:endnote w:type="continuationSeparator" w:id="0">
    <w:p w14:paraId="35FCB886" w14:textId="77777777" w:rsidR="00010577" w:rsidRDefault="00ED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964A" w14:textId="77777777" w:rsidR="00010577" w:rsidRDefault="00ED6E30">
      <w:r>
        <w:rPr>
          <w:color w:val="000000"/>
        </w:rPr>
        <w:separator/>
      </w:r>
    </w:p>
  </w:footnote>
  <w:footnote w:type="continuationSeparator" w:id="0">
    <w:p w14:paraId="25C8F5F6" w14:textId="77777777" w:rsidR="00010577" w:rsidRDefault="00ED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3F1E" w14:textId="77777777" w:rsidR="00002AE0" w:rsidRDefault="00ED6E30">
    <w:pPr>
      <w:pStyle w:val="Zhlav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Příloha č. 3_zadávací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27BD"/>
    <w:multiLevelType w:val="multilevel"/>
    <w:tmpl w:val="88221272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4A23F2D"/>
    <w:multiLevelType w:val="multilevel"/>
    <w:tmpl w:val="D2F0DA66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367872456">
    <w:abstractNumId w:val="1"/>
  </w:num>
  <w:num w:numId="2" w16cid:durableId="185310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08"/>
    <w:rsid w:val="00010577"/>
    <w:rsid w:val="00030F48"/>
    <w:rsid w:val="001A2E40"/>
    <w:rsid w:val="003F2178"/>
    <w:rsid w:val="0074400A"/>
    <w:rsid w:val="00751DB6"/>
    <w:rsid w:val="00757A0B"/>
    <w:rsid w:val="008A38DF"/>
    <w:rsid w:val="009819C4"/>
    <w:rsid w:val="00A34503"/>
    <w:rsid w:val="00A7226A"/>
    <w:rsid w:val="00AE3B08"/>
    <w:rsid w:val="00B75376"/>
    <w:rsid w:val="00D37001"/>
    <w:rsid w:val="00DC5FDD"/>
    <w:rsid w:val="00ED6E30"/>
    <w:rsid w:val="00E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7860"/>
  <w15:docId w15:val="{0CED01EC-9F3B-4193-864B-A1C26A5A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8A38DF"/>
    <w:pPr>
      <w:keepNext/>
      <w:keepLines/>
      <w:suppressAutoHyphens w:val="0"/>
      <w:autoSpaceDN/>
      <w:spacing w:before="240"/>
      <w:jc w:val="both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rPr>
      <w:rFonts w:ascii="Segoe UI" w:eastAsia="Segoe UI" w:hAnsi="Segoe UI" w:cs="Mangal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Mangal"/>
      <w:sz w:val="18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character" w:customStyle="1" w:styleId="ZhlavChar">
    <w:name w:val="Záhlaví Char"/>
    <w:basedOn w:val="Standardnpsmoodstavce"/>
  </w:style>
  <w:style w:type="paragraph" w:styleId="Zkladntext">
    <w:name w:val="Body Text"/>
    <w:basedOn w:val="Normln"/>
    <w:pPr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kern w:val="0"/>
      <w:sz w:val="20"/>
      <w:szCs w:val="20"/>
      <w:lang w:eastAsia="cs-CZ" w:bidi="ar-SA"/>
    </w:rPr>
  </w:style>
  <w:style w:type="numbering" w:customStyle="1" w:styleId="WW8Num22">
    <w:name w:val="WW8Num22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paragraph" w:styleId="Bezmezer">
    <w:name w:val="No Spacing"/>
    <w:qFormat/>
    <w:rsid w:val="008A38DF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8A38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 w:bidi="ar-SA"/>
    </w:rPr>
  </w:style>
  <w:style w:type="paragraph" w:customStyle="1" w:styleId="VFNhl-dky">
    <w:name w:val="VFN hl-řádky"/>
    <w:basedOn w:val="Normln"/>
    <w:link w:val="VFNhl-dkyChar"/>
    <w:qFormat/>
    <w:rsid w:val="008A38DF"/>
    <w:pPr>
      <w:suppressAutoHyphens w:val="0"/>
      <w:autoSpaceDN/>
      <w:ind w:left="1418"/>
      <w:textAlignment w:val="auto"/>
    </w:pPr>
    <w:rPr>
      <w:rFonts w:ascii="Segoe UI" w:eastAsia="Times New Roman" w:hAnsi="Segoe UI" w:cs="Segoe UI"/>
      <w:color w:val="0C0C72"/>
      <w:kern w:val="0"/>
      <w:sz w:val="18"/>
      <w:szCs w:val="18"/>
      <w:lang w:eastAsia="cs-CZ" w:bidi="ar-SA"/>
    </w:rPr>
  </w:style>
  <w:style w:type="character" w:customStyle="1" w:styleId="VFNhl-dkyChar">
    <w:name w:val="VFN hl-řádky Char"/>
    <w:basedOn w:val="Standardnpsmoodstavce"/>
    <w:link w:val="VFNhl-dky"/>
    <w:rsid w:val="008A38DF"/>
    <w:rPr>
      <w:rFonts w:ascii="Segoe UI" w:eastAsia="Times New Roman" w:hAnsi="Segoe UI" w:cs="Segoe UI"/>
      <w:color w:val="0C0C72"/>
      <w:kern w:val="0"/>
      <w:sz w:val="18"/>
      <w:szCs w:val="18"/>
      <w:lang w:eastAsia="cs-CZ" w:bidi="ar-SA"/>
    </w:rPr>
  </w:style>
  <w:style w:type="paragraph" w:styleId="Revize">
    <w:name w:val="Revision"/>
    <w:hidden/>
    <w:uiPriority w:val="99"/>
    <w:semiHidden/>
    <w:rsid w:val="00751DB6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1058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Oblastní nemocnice Náchod a.s.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creator>Jana Kočnarová</dc:creator>
  <cp:lastModifiedBy>svobodova.katerina</cp:lastModifiedBy>
  <cp:revision>11</cp:revision>
  <cp:lastPrinted>2021-06-22T15:25:00Z</cp:lastPrinted>
  <dcterms:created xsi:type="dcterms:W3CDTF">2023-04-02T10:48:00Z</dcterms:created>
  <dcterms:modified xsi:type="dcterms:W3CDTF">2023-05-22T05:20:00Z</dcterms:modified>
</cp:coreProperties>
</file>