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bookmarkStart w:id="0" w:name="_GoBack"/>
      <w:bookmarkEnd w:id="0"/>
      <w:r w:rsidRPr="00B021C6">
        <w:rPr>
          <w:rFonts w:ascii="Arial" w:eastAsia="Times New Roman" w:hAnsi="Arial" w:cs="Arial"/>
          <w:b/>
          <w:sz w:val="32"/>
          <w:szCs w:val="32"/>
          <w:lang w:eastAsia="cs-CZ"/>
        </w:rPr>
        <w:t>Technická specifikace a položkový rozpočet</w:t>
      </w:r>
    </w:p>
    <w:p w:rsidR="00B021C6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B021C6" w:rsidRPr="00B021C6" w:rsidRDefault="00BA2B5A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3D zařízení</w:t>
      </w:r>
      <w:r w:rsidR="00B021C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učebny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9"/>
        <w:gridCol w:w="3496"/>
        <w:gridCol w:w="897"/>
        <w:gridCol w:w="798"/>
        <w:gridCol w:w="1119"/>
        <w:gridCol w:w="1259"/>
        <w:gridCol w:w="1119"/>
      </w:tblGrid>
      <w:tr w:rsidR="00E24448" w:rsidRPr="00B021C6" w:rsidTr="003025D9">
        <w:trPr>
          <w:trHeight w:val="26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4448" w:rsidRDefault="00E24448" w:rsidP="00E24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24448" w:rsidRPr="00B021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název a specifikace položky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počet jednotek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 xml:space="preserve">měr.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jednotka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mj.</w:t>
            </w: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bez DPH (Kč)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bez DPH (Kč)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vč. DPH</w:t>
            </w:r>
          </w:p>
        </w:tc>
      </w:tr>
      <w:tr w:rsidR="00E24448" w:rsidRPr="00B021C6" w:rsidTr="003025D9">
        <w:trPr>
          <w:trHeight w:val="6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2B5A" w:rsidRDefault="00BA2B5A" w:rsidP="00BA2B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3D tiskárna</w:t>
            </w:r>
            <w:r w:rsidR="00E2444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profesionální použití,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splňující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dobrou mechanickou pevnost a odolnost 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stavěných dílů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velmi dobrou rozměr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ovou stabilitu stavěných dílů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 možností nepřetržité </w:t>
            </w:r>
            <w:r w:rsidR="00AE27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 spolehlivé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stavby modelů (až několik dní nepřetržitého provozu).  </w:t>
            </w:r>
          </w:p>
          <w:p w:rsidR="00BA2B5A" w:rsidRPr="00BA2B5A" w:rsidRDefault="00AE2792" w:rsidP="00BA2B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3D tiskárna pracuje metodou výroby dílů</w:t>
            </w:r>
            <w:ins w:id="1" w:author="zatloukal" w:date="2014-11-18T10:07:00Z">
              <w:r w:rsidR="0028524D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 xml:space="preserve"> </w:t>
              </w:r>
            </w:ins>
            <w:r w:rsidR="00BA2B5A"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pomocí </w:t>
            </w:r>
            <w:proofErr w:type="spellStart"/>
            <w:r w:rsidR="00BA2B5A"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extrudace</w:t>
            </w:r>
            <w:proofErr w:type="spellEnd"/>
            <w:r w:rsidR="00BA2B5A"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termoplastového materiálu po vrstvách.  Software zařízení pro stavbu modelů obsah</w:t>
            </w:r>
            <w:r w:rsid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uje</w:t>
            </w:r>
            <w:r w:rsidR="00BA2B5A"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funkcionalitu </w:t>
            </w:r>
            <w:r w:rsid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automatickou stavbu podpor, </w:t>
            </w:r>
            <w:r w:rsidR="00BA2B5A"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rovněž umožní vedle předem nastavitelných parametrů pro rychlou stavbu interaktivně vstupovat do přípravy stavěcích programů a měnit stavěcí styly pro stavbu modelu za účelem optimalizovat kvalitu a rychlost stavby modelu.</w:t>
            </w:r>
          </w:p>
          <w:p w:rsidR="00BA2B5A" w:rsidRPr="00BA2B5A" w:rsidRDefault="00BA2B5A" w:rsidP="00BA2B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3D tiskárna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dodána jako kompletní funkční pracoviště včetně potřebného hardwarového a softwarového vybavení, které půjde snadno integrovat do existující IT struktury školy.  Součástí dodávky je instalace hardwarového a softwarového vybavení, obsahující zařízení pro automatické odstranění podpor, včetně zaškolení obsluhy s možností další softwarové podpory pro aplikace 3D tisku kupujícího a další spolupráce v návazných technologiích pro 3D tisk.</w:t>
            </w:r>
          </w:p>
          <w:p w:rsidR="00BA2B5A" w:rsidRPr="00BA2B5A" w:rsidRDefault="00556B25" w:rsidP="00BA2B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Ostatní </w:t>
            </w:r>
            <w:r w:rsid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požadavky 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technické parametry: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elikost modelovacího prostoru zařízení minimálně 250 x 250 x 300 mm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olitelné 3 velikosti tloušťky vrstvy, první tloušťka menší než 0,20 mm, druhá v rozsahu 0,20-0,30 mm, třetí větší než 0,30 mm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tavba dílů musí probíhat v uzavřené temperované komoře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epelná odolnost dílů deklarována minimálně do 80° C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oftware 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musí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umožň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ovat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modifikaci vnitřní struktury modelů (nahrazení plného objemu modelů mřížkovanou strukturou a možnost její modifikace a současně možnost modifikovat tloušťky stěn modelu)</w:t>
            </w:r>
          </w:p>
          <w:p w:rsidR="00BA2B5A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iskárna dodána 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sadou materiálu, minimálně 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9220 cm</w:t>
            </w:r>
            <w:r w:rsidR="007004A8" w:rsidRPr="007004A8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cs-CZ"/>
              </w:rPr>
              <w:t>3</w:t>
            </w:r>
            <w:r w:rsidR="0028524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modelovacího materiálu 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minimálně 3688</w:t>
            </w:r>
            <w:r w:rsidR="0028524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cm</w:t>
            </w:r>
            <w:r w:rsidR="0028524D" w:rsidRPr="007004A8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cs-CZ"/>
              </w:rPr>
              <w:t>3</w:t>
            </w:r>
            <w:r w:rsidR="0028524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podpůrného materiálu s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možnost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í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vybrat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si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barevný modelovací materiál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minimálně 48 modelovacích podložek</w:t>
            </w:r>
          </w:p>
          <w:p w:rsidR="00926B68" w:rsidRPr="00556B25" w:rsidRDefault="00926B68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dosahovaná přesnost stavby modelu vztažená na maximální rozměr 250 mm musí být minimálně +/- 0,1 mm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odelovací a podpůrný materiál 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musí být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dodáván v</w:t>
            </w:r>
            <w:r w:rsidR="00926B6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 formě cívek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iskárna dodána včetně podstavce pro snadnou manipulaci.</w:t>
            </w:r>
          </w:p>
          <w:p w:rsidR="00BA2B5A" w:rsidRPr="00556B25" w:rsidRDefault="00BA2B5A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elektrické části použitých zařízení musí pracovat na běžné napětí 230V</w:t>
            </w:r>
          </w:p>
          <w:p w:rsid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áruka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se 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vztah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uje</w:t>
            </w:r>
            <w:proofErr w:type="gramEnd"/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vš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echny komponenty zařízení</w:t>
            </w:r>
          </w:p>
          <w:p w:rsidR="00BA2B5A" w:rsidRPr="00556B25" w:rsidRDefault="00BA2B5A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budou vyměněny díly a moduly zařízení, které jsou v daném období platnosti záruky výrobcem inovovány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řipojení 3D tiskárny do počítačové sítě (10/100 base T spojeni, </w:t>
            </w:r>
            <w:proofErr w:type="spellStart"/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Ethernet</w:t>
            </w:r>
            <w:proofErr w:type="spellEnd"/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protokol) bez nutnosti trvalého připojení řídícího počítače</w:t>
            </w:r>
          </w:p>
          <w:p w:rsidR="00BA2B5A" w:rsidRPr="00556B25" w:rsidRDefault="00556B2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ostupnost softwaru pro plošné nasazení v podmínkách školy (multilicence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 učebny</w:t>
            </w:r>
            <w:r w:rsidR="00BA2B5A"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  <w:p w:rsidR="00E24448" w:rsidRPr="00556B25" w:rsidRDefault="00BA2B5A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nezbytné náležitosti související s dopravou zařízení</w:t>
            </w:r>
            <w:r w:rsid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(clo, </w:t>
            </w: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pojištění na případné vady zařízení způsobené přepravou</w:t>
            </w:r>
            <w:r w:rsidR="001D3B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jsou součástí konečné ceny zařízení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1D3BA5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lastRenderedPageBreak/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6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E355E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lastRenderedPageBreak/>
              <w:t>2.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48" w:rsidRDefault="001D3BA5" w:rsidP="001D3B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záložní zdroj</w:t>
            </w:r>
            <w:r w:rsidR="00E2444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3D tiskárny </w:t>
            </w:r>
            <w:r w:rsidR="00E2444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nepře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rušenou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stavb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Pr="00BA2B5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model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 v případě výpadku el.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energie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  <w:p w:rsidR="001D3BA5" w:rsidRDefault="001D3BA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kompatibilní se zařízením 3D tiskárny</w:t>
            </w:r>
          </w:p>
          <w:p w:rsidR="001D3BA5" w:rsidRPr="001D3BA5" w:rsidRDefault="001D3BA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nezbytné náležitosti související s dopravou zařízení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(clo, </w:t>
            </w:r>
            <w:r w:rsidRPr="00556B2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pojištění na případné vady zařízení způsobené přepravou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jsou součástí konečné ceny zařízení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E24448" w:rsidP="00E35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E24448" w:rsidP="00E355ED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A777A4" w:rsidRDefault="00E24448" w:rsidP="00E35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A777A4" w:rsidRDefault="00E24448" w:rsidP="00E35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A777A4" w:rsidRDefault="00E24448" w:rsidP="00E35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9165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A5" w:rsidRDefault="001D3BA5" w:rsidP="001D3B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cleaning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system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3D tiskárny (pro odstranění podpor modelu)</w:t>
            </w:r>
          </w:p>
          <w:p w:rsidR="001D3BA5" w:rsidRDefault="001D3BA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kompatibilní k technologii stavby a použitých materiálů 3D tiskárny</w:t>
            </w:r>
          </w:p>
          <w:p w:rsidR="00B32B10" w:rsidRPr="001D3BA5" w:rsidRDefault="001D3BA5" w:rsidP="001D3BA5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D3B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nezbytné náležitosti související s dopravou zařízení (clo, pojištění na případné vady zařízení způsobené přepravou) jsou součástí konečné ceny zařízení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3025D9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3025D9">
        <w:trPr>
          <w:trHeight w:val="264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B91651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5BA0" w:rsidRDefault="001D3BA5" w:rsidP="00155B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55BA0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3D scanner</w:t>
            </w:r>
            <w:r w:rsidRPr="00155BA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155BA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profesionální použití, </w:t>
            </w:r>
            <w:r w:rsidR="00155BA0" w:rsidRPr="00155BA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rekonstrukci 3D modelu z existujících objektů (restaurování, analýzy povrchů při tvorbě modelů a jejich virtuální úpravy) a analýzu odchylek</w:t>
            </w:r>
          </w:p>
          <w:p w:rsidR="004B796F" w:rsidRDefault="004B796F" w:rsidP="00155B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Ostatní požadavky a technické parametry: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stolní skener včetně otočné podložky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externí otočná podložka a držák součástí pro skenování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minimální rozlišení 150 DPI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přesnost minimálně +/- 0,2 mm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rychlost snímání minimálně 20.000 bodů / sekundu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spolupráce se SW v položce tři, který umožní 3D skenování do parametrických pevných modelů</w:t>
            </w:r>
          </w:p>
          <w:p w:rsidR="00155BA0" w:rsidRPr="004B796F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79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velikost skenovaného objektu minimálně 300 x 200 mm </w:t>
            </w:r>
          </w:p>
          <w:p w:rsidR="00155BA0" w:rsidRPr="00155BA0" w:rsidRDefault="00155BA0" w:rsidP="004B796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software</w:t>
            </w:r>
            <w:r w:rsidRPr="00155BA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umožní využívat v plné míře všechny funkce HW</w:t>
            </w:r>
          </w:p>
          <w:p w:rsidR="00155BA0" w:rsidRDefault="00155BA0" w:rsidP="00155BA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min. </w:t>
            </w:r>
            <w:r w:rsidRPr="00155BA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výstupní formáty STL, OBJ, VRML, ASCII</w:t>
            </w:r>
          </w:p>
          <w:p w:rsidR="00930767" w:rsidRPr="001D3BA5" w:rsidRDefault="001D3BA5" w:rsidP="00155BA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185" w:hanging="185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D3B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nezbytné náležitosti související s dopravou zařízení (clo, pojištění na případné vady zařízení způsobené přepravou) jsou součástí konečné ceny zařízení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251757" w:rsidRDefault="00155BA0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251757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251757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</w:tr>
    </w:tbl>
    <w:p w:rsidR="006C28C6" w:rsidRDefault="00E93A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B949EB" w:rsidRPr="00AF62DB" w:rsidRDefault="00B949EB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1.8pt;height:96.2pt">
            <v:imagedata r:id="rId8" o:title=""/>
            <o:lock v:ext="edit" ungrouping="t" rotation="t" cropping="t" verticies="t" text="t" grouping="t"/>
            <o:signatureline v:ext="edit" id="{D7B17F1D-682A-4662-BFC0-886FC2759D96}" provid="{00000000-0000-0000-0000-000000000000}" issignatureline="t"/>
          </v:shape>
        </w:pict>
      </w:r>
    </w:p>
    <w:sectPr w:rsidR="00B949EB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9D6" w:rsidRDefault="00B919D6" w:rsidP="00CE49E3">
      <w:pPr>
        <w:spacing w:after="0" w:line="240" w:lineRule="auto"/>
      </w:pPr>
      <w:r>
        <w:separator/>
      </w:r>
    </w:p>
  </w:endnote>
  <w:endnote w:type="continuationSeparator" w:id="0">
    <w:p w:rsidR="00B919D6" w:rsidRDefault="00B919D6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AE2792" w:rsidRPr="008F24E6" w:rsidTr="00E355ED">
      <w:tc>
        <w:tcPr>
          <w:tcW w:w="3221" w:type="dxa"/>
          <w:vAlign w:val="center"/>
        </w:tcPr>
        <w:p w:rsidR="00AE2792" w:rsidRPr="008F24E6" w:rsidRDefault="00AE2792" w:rsidP="00E355ED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AE2792" w:rsidRPr="008F24E6" w:rsidRDefault="00AE2792" w:rsidP="00E355ED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F5716C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F5716C" w:rsidRPr="008F24E6">
            <w:rPr>
              <w:rStyle w:val="slostrnky"/>
            </w:rPr>
            <w:fldChar w:fldCharType="separate"/>
          </w:r>
          <w:r w:rsidR="00B949EB">
            <w:rPr>
              <w:rStyle w:val="slostrnky"/>
              <w:noProof/>
            </w:rPr>
            <w:t>2</w:t>
          </w:r>
          <w:r w:rsidR="00F5716C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F5716C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F5716C" w:rsidRPr="008F24E6">
            <w:rPr>
              <w:rStyle w:val="slostrnky"/>
            </w:rPr>
            <w:fldChar w:fldCharType="separate"/>
          </w:r>
          <w:r w:rsidR="00B949EB">
            <w:rPr>
              <w:rStyle w:val="slostrnky"/>
              <w:noProof/>
            </w:rPr>
            <w:t>2</w:t>
          </w:r>
          <w:r w:rsidR="00F5716C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AE2792" w:rsidRPr="008F24E6" w:rsidRDefault="00AE2792" w:rsidP="00E355ED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2792" w:rsidRDefault="00AE279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9D6" w:rsidRDefault="00B919D6" w:rsidP="00CE49E3">
      <w:pPr>
        <w:spacing w:after="0" w:line="240" w:lineRule="auto"/>
      </w:pPr>
      <w:r>
        <w:separator/>
      </w:r>
    </w:p>
  </w:footnote>
  <w:footnote w:type="continuationSeparator" w:id="0">
    <w:p w:rsidR="00B919D6" w:rsidRDefault="00B919D6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792" w:rsidRDefault="00AE2792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eastAsia="cs-CZ"/>
      </w:rPr>
      <w:t>příloha č. 1</w:t>
    </w:r>
  </w:p>
  <w:p w:rsidR="00AE2792" w:rsidRDefault="00AE279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78004BC"/>
    <w:multiLevelType w:val="hybridMultilevel"/>
    <w:tmpl w:val="644C255E"/>
    <w:lvl w:ilvl="0" w:tplc="1960CF40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7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7"/>
  </w:num>
  <w:num w:numId="4">
    <w:abstractNumId w:val="8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 w:numId="17">
    <w:abstractNumId w:val="3"/>
  </w:num>
  <w:num w:numId="18">
    <w:abstractNumId w:val="1"/>
  </w:num>
  <w:num w:numId="19">
    <w:abstractNumId w:val="9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36331"/>
    <w:rsid w:val="00045365"/>
    <w:rsid w:val="000634D0"/>
    <w:rsid w:val="0006414F"/>
    <w:rsid w:val="000B11FF"/>
    <w:rsid w:val="000D3E40"/>
    <w:rsid w:val="000E3CF6"/>
    <w:rsid w:val="000F0D92"/>
    <w:rsid w:val="00101B7A"/>
    <w:rsid w:val="00102FB0"/>
    <w:rsid w:val="00124D25"/>
    <w:rsid w:val="00155BA0"/>
    <w:rsid w:val="00160EC7"/>
    <w:rsid w:val="0017246D"/>
    <w:rsid w:val="001A118E"/>
    <w:rsid w:val="001A241F"/>
    <w:rsid w:val="001B7B4B"/>
    <w:rsid w:val="001D3BA5"/>
    <w:rsid w:val="0022012B"/>
    <w:rsid w:val="00251757"/>
    <w:rsid w:val="002518EE"/>
    <w:rsid w:val="00260BC5"/>
    <w:rsid w:val="00264CC8"/>
    <w:rsid w:val="0028524D"/>
    <w:rsid w:val="002958A7"/>
    <w:rsid w:val="002A0A0A"/>
    <w:rsid w:val="002A6412"/>
    <w:rsid w:val="002B5280"/>
    <w:rsid w:val="002F34D3"/>
    <w:rsid w:val="003025D9"/>
    <w:rsid w:val="00321EA2"/>
    <w:rsid w:val="0033070E"/>
    <w:rsid w:val="00336E32"/>
    <w:rsid w:val="003377CC"/>
    <w:rsid w:val="003641B1"/>
    <w:rsid w:val="00382CC6"/>
    <w:rsid w:val="003951DA"/>
    <w:rsid w:val="003C34E5"/>
    <w:rsid w:val="003F7DDB"/>
    <w:rsid w:val="004372F0"/>
    <w:rsid w:val="0046002A"/>
    <w:rsid w:val="004617E6"/>
    <w:rsid w:val="004766F7"/>
    <w:rsid w:val="004B3399"/>
    <w:rsid w:val="004B796F"/>
    <w:rsid w:val="00530C34"/>
    <w:rsid w:val="00556B25"/>
    <w:rsid w:val="00564FD1"/>
    <w:rsid w:val="00581DA2"/>
    <w:rsid w:val="005B2B9A"/>
    <w:rsid w:val="005B42B4"/>
    <w:rsid w:val="005C67F5"/>
    <w:rsid w:val="005F29B8"/>
    <w:rsid w:val="006376F6"/>
    <w:rsid w:val="00687BDC"/>
    <w:rsid w:val="00695AE9"/>
    <w:rsid w:val="00696EEA"/>
    <w:rsid w:val="006B1973"/>
    <w:rsid w:val="006C28C6"/>
    <w:rsid w:val="007004A8"/>
    <w:rsid w:val="007A0DBC"/>
    <w:rsid w:val="007B2BA4"/>
    <w:rsid w:val="007B612A"/>
    <w:rsid w:val="007B67BE"/>
    <w:rsid w:val="007D0601"/>
    <w:rsid w:val="007D2607"/>
    <w:rsid w:val="008261FC"/>
    <w:rsid w:val="008B419B"/>
    <w:rsid w:val="008E082B"/>
    <w:rsid w:val="008F2F21"/>
    <w:rsid w:val="0090352E"/>
    <w:rsid w:val="009109DB"/>
    <w:rsid w:val="00921723"/>
    <w:rsid w:val="00926B68"/>
    <w:rsid w:val="00930767"/>
    <w:rsid w:val="00937363"/>
    <w:rsid w:val="00973C7C"/>
    <w:rsid w:val="009810AE"/>
    <w:rsid w:val="00984D13"/>
    <w:rsid w:val="009A5487"/>
    <w:rsid w:val="009B0672"/>
    <w:rsid w:val="009E08F4"/>
    <w:rsid w:val="009F7F89"/>
    <w:rsid w:val="00A16A65"/>
    <w:rsid w:val="00A4066B"/>
    <w:rsid w:val="00A777A4"/>
    <w:rsid w:val="00AE2792"/>
    <w:rsid w:val="00AF2DCD"/>
    <w:rsid w:val="00AF62DB"/>
    <w:rsid w:val="00B021C6"/>
    <w:rsid w:val="00B037D6"/>
    <w:rsid w:val="00B16AEC"/>
    <w:rsid w:val="00B23FF6"/>
    <w:rsid w:val="00B32B10"/>
    <w:rsid w:val="00B37A19"/>
    <w:rsid w:val="00B561B2"/>
    <w:rsid w:val="00B91651"/>
    <w:rsid w:val="00B919D6"/>
    <w:rsid w:val="00B949EB"/>
    <w:rsid w:val="00BA2B5A"/>
    <w:rsid w:val="00BB1DA2"/>
    <w:rsid w:val="00BE4F15"/>
    <w:rsid w:val="00C11900"/>
    <w:rsid w:val="00C12942"/>
    <w:rsid w:val="00C35EC5"/>
    <w:rsid w:val="00C91D45"/>
    <w:rsid w:val="00C97858"/>
    <w:rsid w:val="00CA0D90"/>
    <w:rsid w:val="00CA1181"/>
    <w:rsid w:val="00CB1ECF"/>
    <w:rsid w:val="00CC27A0"/>
    <w:rsid w:val="00CC3EC2"/>
    <w:rsid w:val="00CD3FED"/>
    <w:rsid w:val="00CE3BD5"/>
    <w:rsid w:val="00CE49E3"/>
    <w:rsid w:val="00CE50D3"/>
    <w:rsid w:val="00CF617E"/>
    <w:rsid w:val="00D32DBA"/>
    <w:rsid w:val="00D95322"/>
    <w:rsid w:val="00DA0E8D"/>
    <w:rsid w:val="00DC3E33"/>
    <w:rsid w:val="00DE088E"/>
    <w:rsid w:val="00E1181B"/>
    <w:rsid w:val="00E24448"/>
    <w:rsid w:val="00E355ED"/>
    <w:rsid w:val="00E525CB"/>
    <w:rsid w:val="00E93A64"/>
    <w:rsid w:val="00EA3007"/>
    <w:rsid w:val="00EB5A05"/>
    <w:rsid w:val="00EE0AE9"/>
    <w:rsid w:val="00EF0541"/>
    <w:rsid w:val="00F02708"/>
    <w:rsid w:val="00F5716C"/>
    <w:rsid w:val="00F63F24"/>
    <w:rsid w:val="00F67EB6"/>
    <w:rsid w:val="00F70213"/>
    <w:rsid w:val="00F84AE2"/>
    <w:rsid w:val="00F9247A"/>
    <w:rsid w:val="00FA5271"/>
    <w:rsid w:val="00FA7F10"/>
    <w:rsid w:val="00FB6EBD"/>
    <w:rsid w:val="00FC4D76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F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YoDDUBuFYKP13p8PUWErZkeJXoc=</DigestValue>
    </Reference>
    <Reference URI="#idOfficeObject" Type="http://www.w3.org/2000/09/xmldsig#Object">
      <DigestMethod Algorithm="http://www.w3.org/2000/09/xmldsig#sha1"/>
      <DigestValue>Fjiu2Rvr3o3EnYr6HgxX2BflSvU=</DigestValue>
    </Reference>
    <Reference URI="#idValidSigLnImg" Type="http://www.w3.org/2000/09/xmldsig#Object">
      <DigestMethod Algorithm="http://www.w3.org/2000/09/xmldsig#sha1"/>
      <DigestValue>hYLf7dHc/UDacOHzPsvrGbnEyMI=</DigestValue>
    </Reference>
    <Reference URI="#idInvalidSigLnImg" Type="http://www.w3.org/2000/09/xmldsig#Object">
      <DigestMethod Algorithm="http://www.w3.org/2000/09/xmldsig#sha1"/>
      <DigestValue>GPAnNhQIjyOGP7CZGuihdIGcMEU=</DigestValue>
    </Reference>
  </SignedInfo>
  <SignatureValue>
    lmLpqyuo2oH0O6fY4YkLZneJnWT9e12YKgl/t7CzRvbaJJmWDhaCqM3luIt10BMJL42Xx6OO
    dBL+JQSlauo0zrX3elWnmcfKzaPfXjY/YddZKNkjFbPlpWhxIc3QSarOF9MGJzLRGjqSwWCH
    MVy6UvOHgr7COVT7Xtl9J43K37TlKf9+z4VGpD3BBcuSWy2jP89LL57BNFWYlDunqoHZFRbf
    A8r+Xm/0ugXKkWvCbE85US/v8kPTDBETf5i83HolJNWP7CeNOhx9yxBuH3aaXTyA0JA6u7TL
    3BrCrlqTlp9f07C0H/kifk3WwA1SuB/U+LpSXgKffx/KwIVA8/ff6A==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Sr1SKoBQ+XjqxwdI+8DlQv+rvjk=</DigestValue>
      </Reference>
      <Reference URI="/word/endnotes.xml?ContentType=application/vnd.openxmlformats-officedocument.wordprocessingml.endnotes+xml">
        <DigestMethod Algorithm="http://www.w3.org/2000/09/xmldsig#sha1"/>
        <DigestValue>BvjNsD2J3MJb6ssK1SCO59TSyDs=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NQNEmnf0ka7WIL9S00BCJyyPDlk=</DigestValue>
      </Reference>
      <Reference URI="/word/footnotes.xml?ContentType=application/vnd.openxmlformats-officedocument.wordprocessingml.footnotes+xml">
        <DigestMethod Algorithm="http://www.w3.org/2000/09/xmldsig#sha1"/>
        <DigestValue>GDLdE0AQlmIAckB4iExviqLgRrI=</DigestValue>
      </Reference>
      <Reference URI="/word/header1.xml?ContentType=application/vnd.openxmlformats-officedocument.wordprocessingml.header+xml">
        <DigestMethod Algorithm="http://www.w3.org/2000/09/xmldsig#sha1"/>
        <DigestValue>wj7xTV7ekxCADTKZEPcRtxWBnu4=</DigestValue>
      </Reference>
      <Reference URI="/word/media/image1.emf?ContentType=image/x-emf">
        <DigestMethod Algorithm="http://www.w3.org/2000/09/xmldsig#sha1"/>
        <DigestValue>ZKIZj9pOibGX1ciLqI5fzoATwJg=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shgpuko8YkZ4BEKhA4IFyY+fKxM=</DigestValue>
      </Reference>
      <Reference URI="/word/settings.xml?ContentType=application/vnd.openxmlformats-officedocument.wordprocessingml.settings+xml">
        <DigestMethod Algorithm="http://www.w3.org/2000/09/xmldsig#sha1"/>
        <DigestValue>cdJaeuGpoMN0ZQhBQ6tzLV+z70s=</DigestValue>
      </Reference>
      <Reference URI="/word/styles.xml?ContentType=application/vnd.openxmlformats-officedocument.wordprocessingml.styles+xml">
        <DigestMethod Algorithm="http://www.w3.org/2000/09/xmldsig#sha1"/>
        <DigestValue>N3IQo3Yvx9XkBqfvdX0RBUSzn9E=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lyeS8UiKSZXHTduf0wnhVvP6ogY=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2014-11-18T14:16:59Z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{D7B17F1D-682A-4662-BFC0-886FC2759D96}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E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JYGADiTBgAABACSnT0GAAAAAAAAAABTAGkAZwBuAGEAdAB1AHIAZQBMAGkAbgBlAAAAkqVQW5CkUFugBqEGBPOGWyBRP1wAAAQAHNEXAAUyV1vgBvYC4DBQWyIyV1tyF+intNEXAAEABAAAAAQAwEOgBgBsYQAAAAQAGNEXAAAAWVsAMaEGADChBrTRFwC00RcAAQAEAAAABACE0RcAAAAAAP////9I0RcAhNEXAHk7WVvgMFBbgztZW+oX6KcAABcA4Ab2AsCdZAMAAAAAMAAAAJjRFwAAAAAA8llPWwAAAACABCkAAAAAABD7lgZ80RcAdlhPW3SeZAM30hc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woIAAAAACMTUmAAAAAAAAAAAAAAAAAAAAAAAAAAAAAAAAAEAAADwsqiD2O3CgmbqAAAAAAAAAQAAABQQHAUAAAAAAQAAAAYAAABAkYR2wJiGCayTFwAuEiH/IgCKAQQAAABcAAAAAAAAAAQAAABgkBcAZ4KAdoWCgHaGFAEHLgIAACcBAAAEEAAArJMXABQQHAUBAAAAFFQEAwAAAAAAAAAA/////wQQAAD/////BAAAAAAAAAB8kBcAtRszdkBwM3aYkBcAnxozdoYUAQcuAgAAJwEAAAQQAACskxcAFBAcBQEAAAAUVAQDrJMXAAAAAQAAAAAALgIAAMyQFwCAGTN2hhQBBy4CAAAnAQAAAQAAAKyTFwAUEBwFAQAAABRUBAP/////AAAAAOyQFwArUYF2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woIAAAAACMTUmAAAAAAAAAAAAAAAAAAAAAAAAAAAAAAAAAEAAADwsqiD2O3CgmbqAAAAAAAAAAAAAAAAAAAAAAAAAAAAAAAAAAAAAAAAwJiGCQAAAAA1FSG7IgCKAQAAAAAAAAAAAAAAAAAAAAAAAAAAAAAAAAAAAAAAAAAAAAAAAAAAAAAAAAAAAAAAAAAAAAAAAAAAAAAAAAAAAAAAAAAAAAAAAAAAAAAAAAAAAAAAAAAAAAAAAAAAAAAAAAAAAAAAAAAAAAAAAAAAAAAAAAAAAAAAAAAAAAAAAAAAAAAAAAAAAAAAAAAAAAAAAAAAAAAAAAAAAAAAAAAAAAAAAAAAAAAAAAAAAAAAAAAAAAAAAAAAAAA29uB2AAAAALUU4XbykBcAAAAAAOyQFwArUYF2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84D5-7549-46A2-8B64-C91C57ED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6</cp:revision>
  <dcterms:created xsi:type="dcterms:W3CDTF">2014-11-11T12:28:00Z</dcterms:created>
  <dcterms:modified xsi:type="dcterms:W3CDTF">2014-11-18T14:16:00Z</dcterms:modified>
</cp:coreProperties>
</file>