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FC7E" w14:textId="77777777" w:rsidR="00645186" w:rsidRDefault="00645186" w:rsidP="00645186">
      <w:pPr>
        <w:widowControl w:val="0"/>
        <w:tabs>
          <w:tab w:val="left" w:pos="3802"/>
        </w:tabs>
        <w:spacing w:before="120" w:after="120"/>
        <w:rPr>
          <w:rFonts w:cs="Calibri"/>
          <w:szCs w:val="22"/>
        </w:rPr>
      </w:pPr>
    </w:p>
    <w:p w14:paraId="646E2DE9" w14:textId="77777777" w:rsidR="00645186" w:rsidRDefault="00645186" w:rsidP="00645186">
      <w:pPr>
        <w:widowControl w:val="0"/>
        <w:rPr>
          <w:rFonts w:cs="Calibri"/>
          <w:szCs w:val="22"/>
        </w:rPr>
      </w:pPr>
    </w:p>
    <w:p w14:paraId="71E43011" w14:textId="77777777" w:rsidR="00645186" w:rsidRDefault="00645186" w:rsidP="00645186">
      <w:pPr>
        <w:widowControl w:val="0"/>
        <w:rPr>
          <w:rFonts w:cs="Calibri"/>
          <w:szCs w:val="22"/>
        </w:rPr>
      </w:pPr>
    </w:p>
    <w:p w14:paraId="5A14E6A6" w14:textId="77777777" w:rsidR="00645186" w:rsidRDefault="00645186" w:rsidP="00645186">
      <w:pPr>
        <w:widowControl w:val="0"/>
        <w:jc w:val="center"/>
        <w:rPr>
          <w:rFonts w:cs="Calibri"/>
          <w:b/>
          <w:sz w:val="28"/>
          <w:szCs w:val="28"/>
        </w:rPr>
      </w:pPr>
      <w:r>
        <w:rPr>
          <w:rFonts w:cs="Calibri"/>
          <w:b/>
          <w:sz w:val="28"/>
          <w:szCs w:val="28"/>
        </w:rPr>
        <w:t>ZADÁVACÍ DOKUMENTACE A VÝZVA K PODÁNÍ NABÍDKY</w:t>
      </w:r>
    </w:p>
    <w:p w14:paraId="6EE14C7D" w14:textId="77777777" w:rsidR="00645186" w:rsidRDefault="00645186" w:rsidP="00645186">
      <w:pPr>
        <w:widowControl w:val="0"/>
        <w:jc w:val="center"/>
        <w:rPr>
          <w:rFonts w:cs="Calibri"/>
          <w:szCs w:val="22"/>
        </w:rPr>
      </w:pPr>
    </w:p>
    <w:p w14:paraId="54403D9D" w14:textId="77777777" w:rsidR="00645186" w:rsidRDefault="00645186" w:rsidP="00645186">
      <w:pPr>
        <w:widowControl w:val="0"/>
        <w:spacing w:before="0" w:after="0"/>
        <w:jc w:val="center"/>
        <w:rPr>
          <w:szCs w:val="22"/>
        </w:rPr>
      </w:pPr>
    </w:p>
    <w:p w14:paraId="3F888095" w14:textId="77777777" w:rsidR="00645186" w:rsidRDefault="00645186" w:rsidP="00645186">
      <w:pPr>
        <w:widowControl w:val="0"/>
        <w:spacing w:before="0" w:after="0"/>
        <w:jc w:val="center"/>
        <w:rPr>
          <w:b/>
          <w:szCs w:val="22"/>
        </w:rPr>
      </w:pPr>
      <w:r>
        <w:rPr>
          <w:szCs w:val="22"/>
        </w:rPr>
        <w:t>k veřejné zakázce na služby zadávané ve zjednodušeném režimu dle § 129 zákona č. 134/2016 Sb., o zadávání veřejných zakázek, ve znění pozdějších předpisů (dále též „</w:t>
      </w:r>
      <w:r>
        <w:rPr>
          <w:b/>
          <w:i/>
          <w:szCs w:val="22"/>
        </w:rPr>
        <w:t>ZZVZ</w:t>
      </w:r>
      <w:r>
        <w:rPr>
          <w:szCs w:val="22"/>
        </w:rPr>
        <w:t>“)</w:t>
      </w:r>
    </w:p>
    <w:p w14:paraId="72B9B815" w14:textId="77777777" w:rsidR="00645186" w:rsidRDefault="00645186" w:rsidP="00645186">
      <w:pPr>
        <w:widowControl w:val="0"/>
        <w:rPr>
          <w:rFonts w:cs="Calibri"/>
          <w:szCs w:val="22"/>
        </w:rPr>
      </w:pPr>
    </w:p>
    <w:p w14:paraId="59D7E34E" w14:textId="77777777" w:rsidR="00645186" w:rsidRDefault="00645186" w:rsidP="00645186">
      <w:pPr>
        <w:widowControl w:val="0"/>
        <w:rPr>
          <w:rFonts w:cs="Calibri"/>
          <w:szCs w:val="22"/>
        </w:rPr>
      </w:pPr>
    </w:p>
    <w:p w14:paraId="4A3813E8" w14:textId="77777777" w:rsidR="00645186" w:rsidRDefault="00645186" w:rsidP="00645186">
      <w:pPr>
        <w:widowControl w:val="0"/>
        <w:rPr>
          <w:rFonts w:cs="Calibri"/>
          <w:szCs w:val="22"/>
        </w:rPr>
      </w:pPr>
    </w:p>
    <w:p w14:paraId="64608CB0" w14:textId="77777777" w:rsidR="00645186" w:rsidRDefault="00645186" w:rsidP="00645186">
      <w:pPr>
        <w:widowControl w:val="0"/>
        <w:rPr>
          <w:rFonts w:cs="Calibri"/>
          <w:szCs w:val="22"/>
        </w:rPr>
      </w:pPr>
    </w:p>
    <w:p w14:paraId="67021ADF" w14:textId="77777777" w:rsidR="00645186" w:rsidRDefault="00645186" w:rsidP="00645186">
      <w:pPr>
        <w:widowControl w:val="0"/>
        <w:rPr>
          <w:rFonts w:cs="Calibri"/>
          <w:b/>
          <w:szCs w:val="22"/>
        </w:rPr>
      </w:pPr>
    </w:p>
    <w:p w14:paraId="56CDBC2B" w14:textId="77777777" w:rsidR="00645186" w:rsidRDefault="00645186" w:rsidP="00645186">
      <w:pPr>
        <w:widowControl w:val="0"/>
        <w:rPr>
          <w:rFonts w:cs="Calibri"/>
          <w:b/>
          <w:szCs w:val="22"/>
        </w:rPr>
      </w:pPr>
      <w:r>
        <w:rPr>
          <w:rFonts w:cs="Calibri"/>
          <w:b/>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2"/>
      </w:tblGrid>
      <w:tr w:rsidR="00645186" w14:paraId="51B407DF" w14:textId="77777777" w:rsidTr="00645186">
        <w:tc>
          <w:tcPr>
            <w:tcW w:w="9104" w:type="dxa"/>
            <w:tcBorders>
              <w:top w:val="double" w:sz="4" w:space="0" w:color="auto"/>
              <w:left w:val="double" w:sz="4" w:space="0" w:color="auto"/>
              <w:bottom w:val="double" w:sz="4" w:space="0" w:color="auto"/>
              <w:right w:val="double" w:sz="4" w:space="0" w:color="auto"/>
            </w:tcBorders>
            <w:shd w:val="clear" w:color="auto" w:fill="D9D9D9"/>
            <w:vAlign w:val="center"/>
          </w:tcPr>
          <w:p w14:paraId="2DB8B1B0" w14:textId="77777777" w:rsidR="00645186" w:rsidRPr="00795D65" w:rsidRDefault="00645186">
            <w:pPr>
              <w:widowControl w:val="0"/>
              <w:jc w:val="center"/>
              <w:rPr>
                <w:rFonts w:cs="Calibri"/>
                <w:b/>
                <w:szCs w:val="22"/>
              </w:rPr>
            </w:pPr>
          </w:p>
          <w:p w14:paraId="21856E47" w14:textId="1281A45A" w:rsidR="00645186" w:rsidRPr="00795D65" w:rsidRDefault="00645186">
            <w:pPr>
              <w:widowControl w:val="0"/>
              <w:jc w:val="center"/>
              <w:rPr>
                <w:rFonts w:cs="Calibri"/>
                <w:b/>
                <w:sz w:val="24"/>
                <w:szCs w:val="28"/>
              </w:rPr>
            </w:pPr>
            <w:bookmarkStart w:id="0" w:name="_Hlk506390511"/>
            <w:r w:rsidRPr="00795D65">
              <w:rPr>
                <w:rFonts w:cs="Calibri"/>
                <w:b/>
                <w:sz w:val="24"/>
                <w:szCs w:val="28"/>
              </w:rPr>
              <w:t xml:space="preserve">Dílčí část </w:t>
            </w:r>
            <w:r w:rsidR="00795D65" w:rsidRPr="00795D65">
              <w:rPr>
                <w:rFonts w:cs="Calibri"/>
                <w:b/>
                <w:sz w:val="24"/>
                <w:szCs w:val="28"/>
              </w:rPr>
              <w:t>1</w:t>
            </w:r>
            <w:r w:rsidR="0031579A">
              <w:rPr>
                <w:rFonts w:cs="Calibri"/>
                <w:b/>
                <w:sz w:val="24"/>
                <w:szCs w:val="28"/>
              </w:rPr>
              <w:t>3</w:t>
            </w:r>
            <w:r w:rsidRPr="00795D65">
              <w:rPr>
                <w:rFonts w:cs="Calibri"/>
                <w:b/>
                <w:sz w:val="24"/>
                <w:szCs w:val="28"/>
              </w:rPr>
              <w:t xml:space="preserve"> – </w:t>
            </w:r>
            <w:bookmarkEnd w:id="0"/>
            <w:r w:rsidR="00795D65" w:rsidRPr="00795D65">
              <w:rPr>
                <w:rFonts w:cs="Calibri"/>
                <w:b/>
                <w:sz w:val="24"/>
                <w:szCs w:val="28"/>
              </w:rPr>
              <w:t>Azylové domy – osoby bez přístřeší</w:t>
            </w:r>
            <w:r w:rsidR="0031579A">
              <w:rPr>
                <w:rFonts w:cs="Calibri"/>
                <w:b/>
                <w:sz w:val="24"/>
                <w:szCs w:val="28"/>
              </w:rPr>
              <w:t xml:space="preserve">, </w:t>
            </w:r>
            <w:r w:rsidR="0031579A" w:rsidRPr="0031579A">
              <w:rPr>
                <w:rFonts w:cs="Calibri"/>
                <w:b/>
                <w:sz w:val="24"/>
                <w:szCs w:val="28"/>
              </w:rPr>
              <w:t xml:space="preserve">oběti domácího </w:t>
            </w:r>
            <w:proofErr w:type="gramStart"/>
            <w:r w:rsidR="0031579A" w:rsidRPr="0031579A">
              <w:rPr>
                <w:rFonts w:cs="Calibri"/>
                <w:b/>
                <w:sz w:val="24"/>
                <w:szCs w:val="28"/>
              </w:rPr>
              <w:t>násilí - Náchodsko</w:t>
            </w:r>
            <w:proofErr w:type="gramEnd"/>
          </w:p>
          <w:p w14:paraId="16E45C42" w14:textId="77777777" w:rsidR="00645186" w:rsidRPr="00795D65" w:rsidRDefault="00645186">
            <w:pPr>
              <w:widowControl w:val="0"/>
              <w:jc w:val="center"/>
              <w:rPr>
                <w:rFonts w:cs="Calibri"/>
                <w:b/>
                <w:sz w:val="24"/>
                <w:szCs w:val="28"/>
              </w:rPr>
            </w:pPr>
          </w:p>
        </w:tc>
      </w:tr>
    </w:tbl>
    <w:p w14:paraId="029EE330" w14:textId="77777777" w:rsidR="00645186" w:rsidRDefault="00645186" w:rsidP="00645186">
      <w:pPr>
        <w:widowControl w:val="0"/>
        <w:rPr>
          <w:rFonts w:cs="Calibri"/>
          <w:b/>
          <w:szCs w:val="22"/>
        </w:rPr>
      </w:pPr>
    </w:p>
    <w:p w14:paraId="247E4E81" w14:textId="77777777" w:rsidR="00645186" w:rsidRDefault="00645186" w:rsidP="00645186">
      <w:pPr>
        <w:widowControl w:val="0"/>
        <w:rPr>
          <w:rFonts w:cs="Calibri"/>
          <w:szCs w:val="22"/>
        </w:rPr>
      </w:pPr>
    </w:p>
    <w:p w14:paraId="1C9668D5" w14:textId="77777777" w:rsidR="00645186" w:rsidRDefault="00645186" w:rsidP="00645186">
      <w:pPr>
        <w:widowControl w:val="0"/>
        <w:rPr>
          <w:rFonts w:cs="Calibri"/>
          <w:szCs w:val="22"/>
        </w:rPr>
      </w:pPr>
    </w:p>
    <w:p w14:paraId="5140862D" w14:textId="77777777" w:rsidR="00645186" w:rsidRDefault="00645186" w:rsidP="00645186">
      <w:pPr>
        <w:widowControl w:val="0"/>
        <w:rPr>
          <w:rFonts w:cs="Calibri"/>
          <w:szCs w:val="22"/>
        </w:rPr>
      </w:pPr>
    </w:p>
    <w:p w14:paraId="33683B2C" w14:textId="77777777" w:rsidR="00645186" w:rsidRDefault="00645186" w:rsidP="00645186">
      <w:pPr>
        <w:widowControl w:val="0"/>
        <w:rPr>
          <w:rFonts w:cs="Calibri"/>
          <w:szCs w:val="22"/>
        </w:rPr>
      </w:pPr>
    </w:p>
    <w:p w14:paraId="40B2E41F" w14:textId="77777777" w:rsidR="00645186" w:rsidRDefault="00645186" w:rsidP="00645186">
      <w:pPr>
        <w:widowControl w:val="0"/>
        <w:rPr>
          <w:rFonts w:cs="Calibri"/>
          <w:szCs w:val="22"/>
        </w:rPr>
      </w:pPr>
      <w:bookmarkStart w:id="1" w:name="_Toc226714690"/>
    </w:p>
    <w:p w14:paraId="29E64AA3" w14:textId="77777777" w:rsidR="00645186" w:rsidRDefault="00645186" w:rsidP="00645186">
      <w:pPr>
        <w:widowControl w:val="0"/>
        <w:rPr>
          <w:rFonts w:cs="Calibri"/>
          <w:szCs w:val="22"/>
        </w:rPr>
      </w:pPr>
    </w:p>
    <w:p w14:paraId="02CA0CBC" w14:textId="77777777" w:rsidR="00645186" w:rsidRDefault="00645186" w:rsidP="00645186">
      <w:pPr>
        <w:widowControl w:val="0"/>
        <w:rPr>
          <w:szCs w:val="22"/>
        </w:rPr>
      </w:pPr>
    </w:p>
    <w:p w14:paraId="1C5740A5" w14:textId="77777777" w:rsidR="00645186" w:rsidRDefault="00645186" w:rsidP="00645186">
      <w:pPr>
        <w:widowControl w:val="0"/>
        <w:rPr>
          <w:szCs w:val="22"/>
        </w:rPr>
      </w:pPr>
    </w:p>
    <w:p w14:paraId="5A57C432" w14:textId="77777777" w:rsidR="00645186" w:rsidRDefault="00645186" w:rsidP="00645186">
      <w:pPr>
        <w:widowControl w:val="0"/>
        <w:rPr>
          <w:szCs w:val="22"/>
        </w:rPr>
      </w:pPr>
      <w:r>
        <w:rPr>
          <w:szCs w:val="22"/>
        </w:rPr>
        <w:t>Tato zadávací dokumentace („</w:t>
      </w:r>
      <w:r>
        <w:rPr>
          <w:b/>
          <w:i/>
          <w:szCs w:val="22"/>
        </w:rPr>
        <w:t>Zadávací dokumentace</w:t>
      </w:r>
      <w:r>
        <w:rPr>
          <w:szCs w:val="22"/>
        </w:rPr>
        <w:t>“) je zpracována v souladu s § 28 odst. 1 písm. b) ZZVZ a je souborem zadávacích podmínek v podrobnostech nezbytných pro zpracování nabídky, vyjma formulářů podle § 212 ZZVZ. Práva a povinnosti zadavatele a dodavatelů, resp. účastníků zadávacího řízení (dále pro účely této Zadávací dokumentace jen „</w:t>
      </w:r>
      <w:r>
        <w:rPr>
          <w:b/>
          <w:i/>
          <w:szCs w:val="22"/>
        </w:rPr>
        <w:t>Dodavatelé</w:t>
      </w:r>
      <w:r>
        <w:rPr>
          <w:szCs w:val="22"/>
        </w:rPr>
        <w:t xml:space="preserve">“ či </w:t>
      </w:r>
      <w:r>
        <w:rPr>
          <w:b/>
          <w:i/>
          <w:szCs w:val="22"/>
        </w:rPr>
        <w:t>„Dodavatel“</w:t>
      </w:r>
      <w:r>
        <w:rPr>
          <w:szCs w:val="22"/>
        </w:rPr>
        <w:t xml:space="preserve">), v rámci zadávacího řízení, která nejsou výslovně uvedena v této Zadávací dokumentaci, se řídí příslušnými ustanoveními ZZVZ. </w:t>
      </w:r>
    </w:p>
    <w:p w14:paraId="740EA33A" w14:textId="77777777" w:rsidR="00645186" w:rsidRDefault="00645186" w:rsidP="00645186">
      <w:pPr>
        <w:widowControl w:val="0"/>
        <w:rPr>
          <w:rFonts w:cs="Calibri"/>
          <w:b/>
          <w:szCs w:val="22"/>
        </w:rPr>
      </w:pPr>
      <w:r>
        <w:rPr>
          <w:szCs w:val="22"/>
        </w:rPr>
        <w:br w:type="page"/>
      </w:r>
      <w:r>
        <w:rPr>
          <w:rFonts w:cs="Calibri"/>
          <w:b/>
          <w:szCs w:val="22"/>
        </w:rPr>
        <w:lastRenderedPageBreak/>
        <w:t>Obsah</w:t>
      </w:r>
      <w:bookmarkEnd w:id="1"/>
    </w:p>
    <w:p w14:paraId="7098EBF1" w14:textId="77777777" w:rsidR="00645186" w:rsidRDefault="00645186" w:rsidP="00645186">
      <w:pPr>
        <w:pStyle w:val="Obsah1"/>
        <w:rPr>
          <w:noProof/>
          <w:szCs w:val="22"/>
        </w:rPr>
      </w:pPr>
      <w:r>
        <w:rPr>
          <w:rFonts w:cs="Calibri"/>
          <w:szCs w:val="22"/>
        </w:rPr>
        <w:fldChar w:fldCharType="begin"/>
      </w:r>
      <w:r>
        <w:rPr>
          <w:rFonts w:cs="Calibri"/>
          <w:szCs w:val="22"/>
        </w:rPr>
        <w:instrText xml:space="preserve"> TOC \o "1-1" \h \z \u </w:instrText>
      </w:r>
      <w:r>
        <w:rPr>
          <w:rFonts w:cs="Calibri"/>
          <w:szCs w:val="22"/>
        </w:rPr>
        <w:fldChar w:fldCharType="separate"/>
      </w:r>
      <w:hyperlink r:id="rId7" w:anchor="_Toc101358580" w:history="1">
        <w:r>
          <w:rPr>
            <w:rStyle w:val="Hypertextovodkaz"/>
            <w:noProof/>
          </w:rPr>
          <w:t>1.</w:t>
        </w:r>
        <w:r>
          <w:rPr>
            <w:rStyle w:val="Hypertextovodkaz"/>
            <w:noProof/>
            <w:szCs w:val="22"/>
          </w:rPr>
          <w:tab/>
        </w:r>
        <w:r>
          <w:rPr>
            <w:rStyle w:val="Hypertextovodkaz"/>
            <w:noProof/>
          </w:rPr>
          <w:t>Základní údaje o Veřejné zakázce</w:t>
        </w:r>
        <w:r>
          <w:rPr>
            <w:rStyle w:val="Hypertextovodkaz"/>
            <w:noProof/>
            <w:webHidden/>
          </w:rPr>
          <w:tab/>
        </w:r>
        <w:r>
          <w:rPr>
            <w:rStyle w:val="Hypertextovodkaz"/>
            <w:noProof/>
            <w:webHidden/>
          </w:rPr>
          <w:fldChar w:fldCharType="begin"/>
        </w:r>
        <w:r>
          <w:rPr>
            <w:rStyle w:val="Hypertextovodkaz"/>
            <w:noProof/>
            <w:webHidden/>
          </w:rPr>
          <w:instrText xml:space="preserve"> PAGEREF _Toc101358580 \h </w:instrText>
        </w:r>
        <w:r>
          <w:rPr>
            <w:rStyle w:val="Hypertextovodkaz"/>
            <w:noProof/>
            <w:webHidden/>
          </w:rPr>
        </w:r>
        <w:r>
          <w:rPr>
            <w:rStyle w:val="Hypertextovodkaz"/>
            <w:noProof/>
            <w:webHidden/>
          </w:rPr>
          <w:fldChar w:fldCharType="separate"/>
        </w:r>
        <w:r>
          <w:rPr>
            <w:rStyle w:val="Hypertextovodkaz"/>
            <w:noProof/>
            <w:webHidden/>
          </w:rPr>
          <w:t>3</w:t>
        </w:r>
        <w:r>
          <w:rPr>
            <w:rStyle w:val="Hypertextovodkaz"/>
            <w:noProof/>
            <w:webHidden/>
          </w:rPr>
          <w:fldChar w:fldCharType="end"/>
        </w:r>
      </w:hyperlink>
    </w:p>
    <w:p w14:paraId="35A070C4" w14:textId="77777777" w:rsidR="00645186" w:rsidRDefault="00586EC3" w:rsidP="00645186">
      <w:pPr>
        <w:pStyle w:val="Obsah1"/>
        <w:rPr>
          <w:noProof/>
          <w:szCs w:val="22"/>
        </w:rPr>
      </w:pPr>
      <w:hyperlink r:id="rId8" w:anchor="_Toc101358581" w:history="1">
        <w:r w:rsidR="00645186">
          <w:rPr>
            <w:rStyle w:val="Hypertextovodkaz"/>
            <w:noProof/>
          </w:rPr>
          <w:t>2.</w:t>
        </w:r>
        <w:r w:rsidR="00645186">
          <w:rPr>
            <w:rStyle w:val="Hypertextovodkaz"/>
            <w:noProof/>
            <w:szCs w:val="22"/>
          </w:rPr>
          <w:tab/>
        </w:r>
        <w:r w:rsidR="00645186">
          <w:rPr>
            <w:rStyle w:val="Hypertextovodkaz"/>
            <w:noProof/>
          </w:rPr>
          <w:t>Vymezení předmětu Veřejné zakázky</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_Toc101358581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4</w:t>
        </w:r>
        <w:r w:rsidR="00645186">
          <w:rPr>
            <w:rStyle w:val="Hypertextovodkaz"/>
            <w:noProof/>
            <w:webHidden/>
          </w:rPr>
          <w:fldChar w:fldCharType="end"/>
        </w:r>
      </w:hyperlink>
    </w:p>
    <w:p w14:paraId="6712DE8D" w14:textId="77777777" w:rsidR="00645186" w:rsidRDefault="00586EC3" w:rsidP="00645186">
      <w:pPr>
        <w:pStyle w:val="Obsah1"/>
        <w:rPr>
          <w:noProof/>
          <w:szCs w:val="22"/>
        </w:rPr>
      </w:pPr>
      <w:hyperlink r:id="rId9" w:anchor="_Toc101358582" w:history="1">
        <w:r w:rsidR="00645186">
          <w:rPr>
            <w:rStyle w:val="Hypertextovodkaz"/>
            <w:noProof/>
          </w:rPr>
          <w:t>3.</w:t>
        </w:r>
        <w:r w:rsidR="00645186">
          <w:rPr>
            <w:rStyle w:val="Hypertextovodkaz"/>
            <w:noProof/>
            <w:szCs w:val="22"/>
          </w:rPr>
          <w:tab/>
        </w:r>
        <w:r w:rsidR="00645186">
          <w:rPr>
            <w:rStyle w:val="Hypertextovodkaz"/>
            <w:noProof/>
          </w:rPr>
          <w:t>Doba a místo plnění Veřejné zakázky</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_Toc101358582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4</w:t>
        </w:r>
        <w:r w:rsidR="00645186">
          <w:rPr>
            <w:rStyle w:val="Hypertextovodkaz"/>
            <w:noProof/>
            <w:webHidden/>
          </w:rPr>
          <w:fldChar w:fldCharType="end"/>
        </w:r>
      </w:hyperlink>
    </w:p>
    <w:p w14:paraId="59F0AEC6" w14:textId="77777777" w:rsidR="00645186" w:rsidRDefault="00586EC3" w:rsidP="00645186">
      <w:pPr>
        <w:pStyle w:val="Obsah1"/>
        <w:rPr>
          <w:noProof/>
          <w:szCs w:val="22"/>
        </w:rPr>
      </w:pPr>
      <w:hyperlink r:id="rId10" w:anchor="_Toc101358583" w:history="1">
        <w:r w:rsidR="00645186">
          <w:rPr>
            <w:rStyle w:val="Hypertextovodkaz"/>
            <w:noProof/>
          </w:rPr>
          <w:t>4.</w:t>
        </w:r>
        <w:r w:rsidR="00645186">
          <w:rPr>
            <w:rStyle w:val="Hypertextovodkaz"/>
            <w:noProof/>
            <w:szCs w:val="22"/>
          </w:rPr>
          <w:tab/>
        </w:r>
        <w:r w:rsidR="00645186">
          <w:rPr>
            <w:rStyle w:val="Hypertextovodkaz"/>
            <w:noProof/>
          </w:rPr>
          <w:t>Předpokládaná hodnota Veřejné zakázky a způsob jejího stanovení</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_Toc101358583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4</w:t>
        </w:r>
        <w:r w:rsidR="00645186">
          <w:rPr>
            <w:rStyle w:val="Hypertextovodkaz"/>
            <w:noProof/>
            <w:webHidden/>
          </w:rPr>
          <w:fldChar w:fldCharType="end"/>
        </w:r>
      </w:hyperlink>
    </w:p>
    <w:p w14:paraId="016DBCD2" w14:textId="77777777" w:rsidR="00645186" w:rsidRDefault="00586EC3" w:rsidP="00645186">
      <w:pPr>
        <w:pStyle w:val="Obsah1"/>
        <w:rPr>
          <w:noProof/>
          <w:szCs w:val="22"/>
        </w:rPr>
      </w:pPr>
      <w:hyperlink r:id="rId11" w:anchor="_Toc101358584" w:history="1">
        <w:r w:rsidR="00645186">
          <w:rPr>
            <w:rStyle w:val="Hypertextovodkaz"/>
            <w:noProof/>
          </w:rPr>
          <w:t>5.</w:t>
        </w:r>
        <w:r w:rsidR="00645186">
          <w:rPr>
            <w:rStyle w:val="Hypertextovodkaz"/>
            <w:noProof/>
            <w:szCs w:val="22"/>
          </w:rPr>
          <w:tab/>
        </w:r>
        <w:r w:rsidR="00645186">
          <w:rPr>
            <w:rStyle w:val="Hypertextovodkaz"/>
            <w:noProof/>
          </w:rPr>
          <w:t>Kvalifikace Dodavatelů</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_Toc101358584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5</w:t>
        </w:r>
        <w:r w:rsidR="00645186">
          <w:rPr>
            <w:rStyle w:val="Hypertextovodkaz"/>
            <w:noProof/>
            <w:webHidden/>
          </w:rPr>
          <w:fldChar w:fldCharType="end"/>
        </w:r>
      </w:hyperlink>
    </w:p>
    <w:p w14:paraId="69F1846D" w14:textId="77777777" w:rsidR="00645186" w:rsidRDefault="00586EC3" w:rsidP="00645186">
      <w:pPr>
        <w:pStyle w:val="Obsah1"/>
        <w:rPr>
          <w:noProof/>
          <w:szCs w:val="22"/>
        </w:rPr>
      </w:pPr>
      <w:hyperlink r:id="rId12" w:anchor="_Toc101358585" w:history="1">
        <w:r w:rsidR="00645186">
          <w:rPr>
            <w:rStyle w:val="Hypertextovodkaz"/>
            <w:noProof/>
          </w:rPr>
          <w:t>6.</w:t>
        </w:r>
        <w:r w:rsidR="00645186">
          <w:rPr>
            <w:rStyle w:val="Hypertextovodkaz"/>
            <w:noProof/>
            <w:szCs w:val="22"/>
          </w:rPr>
          <w:tab/>
        </w:r>
        <w:r w:rsidR="00645186">
          <w:rPr>
            <w:rStyle w:val="Hypertextovodkaz"/>
            <w:noProof/>
          </w:rPr>
          <w:t>Doporučený způsob zpracování a forma nabídky</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_Toc101358585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7</w:t>
        </w:r>
        <w:r w:rsidR="00645186">
          <w:rPr>
            <w:rStyle w:val="Hypertextovodkaz"/>
            <w:noProof/>
            <w:webHidden/>
          </w:rPr>
          <w:fldChar w:fldCharType="end"/>
        </w:r>
      </w:hyperlink>
    </w:p>
    <w:p w14:paraId="71723604" w14:textId="77777777" w:rsidR="00645186" w:rsidRDefault="00586EC3" w:rsidP="00645186">
      <w:pPr>
        <w:pStyle w:val="Obsah1"/>
        <w:rPr>
          <w:noProof/>
          <w:szCs w:val="22"/>
        </w:rPr>
      </w:pPr>
      <w:hyperlink r:id="rId13" w:anchor="_Toc101358586" w:history="1">
        <w:r w:rsidR="00645186">
          <w:rPr>
            <w:rStyle w:val="Hypertextovodkaz"/>
            <w:noProof/>
          </w:rPr>
          <w:t>7.</w:t>
        </w:r>
        <w:r w:rsidR="00645186">
          <w:rPr>
            <w:rStyle w:val="Hypertextovodkaz"/>
            <w:noProof/>
            <w:szCs w:val="22"/>
          </w:rPr>
          <w:tab/>
        </w:r>
        <w:r w:rsidR="00645186">
          <w:rPr>
            <w:rStyle w:val="Hypertextovodkaz"/>
            <w:noProof/>
          </w:rPr>
          <w:t>Vysvětlení Zadávací dokumentace</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_Toc101358586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8</w:t>
        </w:r>
        <w:r w:rsidR="00645186">
          <w:rPr>
            <w:rStyle w:val="Hypertextovodkaz"/>
            <w:noProof/>
            <w:webHidden/>
          </w:rPr>
          <w:fldChar w:fldCharType="end"/>
        </w:r>
      </w:hyperlink>
    </w:p>
    <w:p w14:paraId="458F3CC0" w14:textId="77777777" w:rsidR="00645186" w:rsidRDefault="00586EC3" w:rsidP="00645186">
      <w:pPr>
        <w:pStyle w:val="Obsah1"/>
        <w:rPr>
          <w:noProof/>
          <w:szCs w:val="22"/>
        </w:rPr>
      </w:pPr>
      <w:hyperlink r:id="rId14" w:anchor="_Toc101358587" w:history="1">
        <w:r w:rsidR="00645186">
          <w:rPr>
            <w:rStyle w:val="Hypertextovodkaz"/>
            <w:noProof/>
          </w:rPr>
          <w:t>8.</w:t>
        </w:r>
        <w:r w:rsidR="00645186">
          <w:rPr>
            <w:rStyle w:val="Hypertextovodkaz"/>
            <w:noProof/>
            <w:szCs w:val="22"/>
          </w:rPr>
          <w:tab/>
        </w:r>
        <w:r w:rsidR="00645186">
          <w:rPr>
            <w:rStyle w:val="Hypertextovodkaz"/>
            <w:noProof/>
          </w:rPr>
          <w:t>Způsob, doba a místo podání nabídek</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_Toc101358587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9</w:t>
        </w:r>
        <w:r w:rsidR="00645186">
          <w:rPr>
            <w:rStyle w:val="Hypertextovodkaz"/>
            <w:noProof/>
            <w:webHidden/>
          </w:rPr>
          <w:fldChar w:fldCharType="end"/>
        </w:r>
      </w:hyperlink>
    </w:p>
    <w:p w14:paraId="231A70FC" w14:textId="77777777" w:rsidR="00645186" w:rsidRDefault="00586EC3" w:rsidP="00645186">
      <w:pPr>
        <w:pStyle w:val="Obsah1"/>
        <w:rPr>
          <w:noProof/>
          <w:szCs w:val="22"/>
        </w:rPr>
      </w:pPr>
      <w:hyperlink r:id="rId15" w:anchor="_Toc101358588" w:history="1">
        <w:r w:rsidR="00645186">
          <w:rPr>
            <w:rStyle w:val="Hypertextovodkaz"/>
            <w:noProof/>
          </w:rPr>
          <w:t>9.</w:t>
        </w:r>
        <w:r w:rsidR="00645186">
          <w:rPr>
            <w:rStyle w:val="Hypertextovodkaz"/>
            <w:noProof/>
            <w:szCs w:val="22"/>
          </w:rPr>
          <w:tab/>
        </w:r>
        <w:r w:rsidR="00645186">
          <w:rPr>
            <w:rStyle w:val="Hypertextovodkaz"/>
            <w:noProof/>
          </w:rPr>
          <w:t>Termín, místo a postup při otevírání nabídek</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_Toc101358588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9</w:t>
        </w:r>
        <w:r w:rsidR="00645186">
          <w:rPr>
            <w:rStyle w:val="Hypertextovodkaz"/>
            <w:noProof/>
            <w:webHidden/>
          </w:rPr>
          <w:fldChar w:fldCharType="end"/>
        </w:r>
      </w:hyperlink>
    </w:p>
    <w:p w14:paraId="486D4837" w14:textId="77777777" w:rsidR="00645186" w:rsidRDefault="00586EC3" w:rsidP="00645186">
      <w:pPr>
        <w:pStyle w:val="Obsah1"/>
        <w:rPr>
          <w:noProof/>
          <w:szCs w:val="22"/>
        </w:rPr>
      </w:pPr>
      <w:hyperlink r:id="rId16" w:anchor="_Toc101358589" w:history="1">
        <w:r w:rsidR="00645186">
          <w:rPr>
            <w:rStyle w:val="Hypertextovodkaz"/>
            <w:noProof/>
          </w:rPr>
          <w:t>10.</w:t>
        </w:r>
        <w:r w:rsidR="00645186">
          <w:rPr>
            <w:rStyle w:val="Hypertextovodkaz"/>
            <w:noProof/>
            <w:szCs w:val="22"/>
          </w:rPr>
          <w:tab/>
        </w:r>
        <w:r w:rsidR="00645186">
          <w:rPr>
            <w:rStyle w:val="Hypertextovodkaz"/>
            <w:noProof/>
          </w:rPr>
          <w:t>Požadavek na způsob zpracování nabídkové ceny</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_Toc101358589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9</w:t>
        </w:r>
        <w:r w:rsidR="00645186">
          <w:rPr>
            <w:rStyle w:val="Hypertextovodkaz"/>
            <w:noProof/>
            <w:webHidden/>
          </w:rPr>
          <w:fldChar w:fldCharType="end"/>
        </w:r>
      </w:hyperlink>
    </w:p>
    <w:p w14:paraId="23784990" w14:textId="77777777" w:rsidR="00645186" w:rsidRDefault="00586EC3" w:rsidP="00645186">
      <w:pPr>
        <w:pStyle w:val="Obsah1"/>
        <w:rPr>
          <w:noProof/>
          <w:szCs w:val="22"/>
        </w:rPr>
      </w:pPr>
      <w:hyperlink r:id="rId17" w:anchor="_Toc101358590" w:history="1">
        <w:r w:rsidR="00645186">
          <w:rPr>
            <w:rStyle w:val="Hypertextovodkaz"/>
            <w:noProof/>
          </w:rPr>
          <w:t>11.</w:t>
        </w:r>
        <w:r w:rsidR="00645186">
          <w:rPr>
            <w:rStyle w:val="Hypertextovodkaz"/>
            <w:noProof/>
            <w:szCs w:val="22"/>
          </w:rPr>
          <w:tab/>
        </w:r>
        <w:r w:rsidR="00645186">
          <w:rPr>
            <w:rStyle w:val="Hypertextovodkaz"/>
            <w:noProof/>
          </w:rPr>
          <w:t>Hodnocení</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_Toc101358590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9</w:t>
        </w:r>
        <w:r w:rsidR="00645186">
          <w:rPr>
            <w:rStyle w:val="Hypertextovodkaz"/>
            <w:noProof/>
            <w:webHidden/>
          </w:rPr>
          <w:fldChar w:fldCharType="end"/>
        </w:r>
      </w:hyperlink>
    </w:p>
    <w:p w14:paraId="58AADC26" w14:textId="77777777" w:rsidR="00645186" w:rsidRDefault="00586EC3" w:rsidP="00645186">
      <w:pPr>
        <w:pStyle w:val="Obsah1"/>
        <w:rPr>
          <w:noProof/>
          <w:szCs w:val="22"/>
        </w:rPr>
      </w:pPr>
      <w:hyperlink r:id="rId18" w:anchor="_Toc101358591" w:history="1">
        <w:r w:rsidR="00645186">
          <w:rPr>
            <w:rStyle w:val="Hypertextovodkaz"/>
            <w:noProof/>
          </w:rPr>
          <w:t>12.</w:t>
        </w:r>
        <w:r w:rsidR="00645186">
          <w:rPr>
            <w:rStyle w:val="Hypertextovodkaz"/>
            <w:noProof/>
            <w:szCs w:val="22"/>
          </w:rPr>
          <w:tab/>
        </w:r>
        <w:r w:rsidR="00645186">
          <w:rPr>
            <w:rStyle w:val="Hypertextovodkaz"/>
            <w:noProof/>
          </w:rPr>
          <w:t>Obchodní a jiné smluvní podmínky</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_Toc101358591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11</w:t>
        </w:r>
        <w:r w:rsidR="00645186">
          <w:rPr>
            <w:rStyle w:val="Hypertextovodkaz"/>
            <w:noProof/>
            <w:webHidden/>
          </w:rPr>
          <w:fldChar w:fldCharType="end"/>
        </w:r>
      </w:hyperlink>
    </w:p>
    <w:p w14:paraId="2DCC788B" w14:textId="77777777" w:rsidR="00645186" w:rsidRDefault="00586EC3" w:rsidP="00645186">
      <w:pPr>
        <w:pStyle w:val="Obsah1"/>
        <w:rPr>
          <w:noProof/>
          <w:szCs w:val="22"/>
        </w:rPr>
      </w:pPr>
      <w:hyperlink r:id="rId19" w:anchor="_Toc101358592" w:history="1">
        <w:r w:rsidR="00645186">
          <w:rPr>
            <w:rStyle w:val="Hypertextovodkaz"/>
            <w:noProof/>
          </w:rPr>
          <w:t>13.</w:t>
        </w:r>
        <w:r w:rsidR="00645186">
          <w:rPr>
            <w:rStyle w:val="Hypertextovodkaz"/>
            <w:noProof/>
            <w:szCs w:val="22"/>
          </w:rPr>
          <w:tab/>
        </w:r>
        <w:r w:rsidR="00645186">
          <w:rPr>
            <w:rStyle w:val="Hypertextovodkaz"/>
            <w:noProof/>
          </w:rPr>
          <w:t>Jednání o nabídkách</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_Toc101358592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11</w:t>
        </w:r>
        <w:r w:rsidR="00645186">
          <w:rPr>
            <w:rStyle w:val="Hypertextovodkaz"/>
            <w:noProof/>
            <w:webHidden/>
          </w:rPr>
          <w:fldChar w:fldCharType="end"/>
        </w:r>
      </w:hyperlink>
    </w:p>
    <w:p w14:paraId="18394510" w14:textId="77777777" w:rsidR="00645186" w:rsidRDefault="00586EC3" w:rsidP="00645186">
      <w:pPr>
        <w:pStyle w:val="Obsah1"/>
        <w:rPr>
          <w:noProof/>
          <w:szCs w:val="22"/>
        </w:rPr>
      </w:pPr>
      <w:hyperlink r:id="rId20" w:anchor="_Toc101358593" w:history="1">
        <w:r w:rsidR="00645186">
          <w:rPr>
            <w:rStyle w:val="Hypertextovodkaz"/>
            <w:noProof/>
          </w:rPr>
          <w:t>14.</w:t>
        </w:r>
        <w:r w:rsidR="00645186">
          <w:rPr>
            <w:rStyle w:val="Hypertextovodkaz"/>
            <w:noProof/>
            <w:szCs w:val="22"/>
          </w:rPr>
          <w:tab/>
        </w:r>
        <w:r w:rsidR="00645186">
          <w:rPr>
            <w:rStyle w:val="Hypertextovodkaz"/>
            <w:noProof/>
          </w:rPr>
          <w:t>Komunikace mezi Zadavatelem a Dodavatelem</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_Toc101358593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12</w:t>
        </w:r>
        <w:r w:rsidR="00645186">
          <w:rPr>
            <w:rStyle w:val="Hypertextovodkaz"/>
            <w:noProof/>
            <w:webHidden/>
          </w:rPr>
          <w:fldChar w:fldCharType="end"/>
        </w:r>
      </w:hyperlink>
    </w:p>
    <w:p w14:paraId="681B451C" w14:textId="77777777" w:rsidR="00645186" w:rsidRDefault="00586EC3" w:rsidP="00645186">
      <w:pPr>
        <w:pStyle w:val="Obsah1"/>
        <w:rPr>
          <w:noProof/>
          <w:szCs w:val="22"/>
        </w:rPr>
      </w:pPr>
      <w:hyperlink r:id="rId21" w:anchor="_Toc101358594" w:history="1">
        <w:r w:rsidR="00645186">
          <w:rPr>
            <w:rStyle w:val="Hypertextovodkaz"/>
            <w:noProof/>
          </w:rPr>
          <w:t>15.</w:t>
        </w:r>
        <w:r w:rsidR="00645186">
          <w:rPr>
            <w:rStyle w:val="Hypertextovodkaz"/>
            <w:noProof/>
            <w:szCs w:val="22"/>
          </w:rPr>
          <w:tab/>
        </w:r>
        <w:r w:rsidR="00645186">
          <w:rPr>
            <w:rStyle w:val="Hypertextovodkaz"/>
            <w:noProof/>
          </w:rPr>
          <w:t>Ostatní</w:t>
        </w:r>
        <w:r w:rsidR="00645186">
          <w:rPr>
            <w:rStyle w:val="Hypertextovodkaz"/>
            <w:noProof/>
            <w:webHidden/>
          </w:rPr>
          <w:tab/>
        </w:r>
        <w:r w:rsidR="00645186">
          <w:rPr>
            <w:rStyle w:val="Hypertextovodkaz"/>
            <w:noProof/>
            <w:webHidden/>
          </w:rPr>
          <w:fldChar w:fldCharType="begin"/>
        </w:r>
        <w:r w:rsidR="00645186">
          <w:rPr>
            <w:rStyle w:val="Hypertextovodkaz"/>
            <w:noProof/>
            <w:webHidden/>
          </w:rPr>
          <w:instrText xml:space="preserve"> PAGEREF _Toc101358594 \h </w:instrText>
        </w:r>
        <w:r w:rsidR="00645186">
          <w:rPr>
            <w:rStyle w:val="Hypertextovodkaz"/>
            <w:noProof/>
            <w:webHidden/>
          </w:rPr>
        </w:r>
        <w:r w:rsidR="00645186">
          <w:rPr>
            <w:rStyle w:val="Hypertextovodkaz"/>
            <w:noProof/>
            <w:webHidden/>
          </w:rPr>
          <w:fldChar w:fldCharType="separate"/>
        </w:r>
        <w:r w:rsidR="00645186">
          <w:rPr>
            <w:rStyle w:val="Hypertextovodkaz"/>
            <w:noProof/>
            <w:webHidden/>
          </w:rPr>
          <w:t>12</w:t>
        </w:r>
        <w:r w:rsidR="00645186">
          <w:rPr>
            <w:rStyle w:val="Hypertextovodkaz"/>
            <w:noProof/>
            <w:webHidden/>
          </w:rPr>
          <w:fldChar w:fldCharType="end"/>
        </w:r>
      </w:hyperlink>
    </w:p>
    <w:p w14:paraId="79373C41" w14:textId="77777777" w:rsidR="00645186" w:rsidRDefault="00645186" w:rsidP="00645186">
      <w:pPr>
        <w:widowControl w:val="0"/>
        <w:rPr>
          <w:rFonts w:cs="Calibri"/>
          <w:szCs w:val="22"/>
        </w:rPr>
      </w:pPr>
      <w:r>
        <w:rPr>
          <w:rFonts w:cs="Calibri"/>
          <w:szCs w:val="22"/>
        </w:rPr>
        <w:fldChar w:fldCharType="end"/>
      </w:r>
    </w:p>
    <w:p w14:paraId="570F77D5" w14:textId="77777777" w:rsidR="00645186" w:rsidRDefault="00645186" w:rsidP="00645186">
      <w:pPr>
        <w:widowControl w:val="0"/>
        <w:rPr>
          <w:rFonts w:cs="Calibri"/>
          <w:szCs w:val="22"/>
        </w:rPr>
      </w:pPr>
    </w:p>
    <w:p w14:paraId="077507B7" w14:textId="77777777" w:rsidR="00645186" w:rsidRDefault="00645186" w:rsidP="00645186">
      <w:pPr>
        <w:widowControl w:val="0"/>
        <w:rPr>
          <w:rFonts w:cs="Calibri"/>
          <w:szCs w:val="22"/>
        </w:rPr>
      </w:pPr>
    </w:p>
    <w:p w14:paraId="2FB5A916" w14:textId="77777777" w:rsidR="00645186" w:rsidRDefault="00645186" w:rsidP="00645186">
      <w:pPr>
        <w:widowControl w:val="0"/>
        <w:rPr>
          <w:rFonts w:cs="Calibri"/>
          <w:szCs w:val="22"/>
        </w:rPr>
      </w:pPr>
    </w:p>
    <w:p w14:paraId="67246DE8" w14:textId="77777777" w:rsidR="00645186" w:rsidRDefault="00645186" w:rsidP="00645186">
      <w:pPr>
        <w:widowControl w:val="0"/>
        <w:rPr>
          <w:rFonts w:cs="Calibri"/>
          <w:szCs w:val="22"/>
        </w:rPr>
      </w:pPr>
    </w:p>
    <w:p w14:paraId="7B9950F8" w14:textId="77777777" w:rsidR="00645186" w:rsidRDefault="00645186" w:rsidP="00645186">
      <w:pPr>
        <w:widowControl w:val="0"/>
        <w:rPr>
          <w:rFonts w:cs="Calibri"/>
          <w:szCs w:val="22"/>
        </w:rPr>
      </w:pPr>
    </w:p>
    <w:p w14:paraId="43C42551" w14:textId="77777777" w:rsidR="00645186" w:rsidRDefault="00645186" w:rsidP="00645186">
      <w:pPr>
        <w:widowControl w:val="0"/>
        <w:rPr>
          <w:rFonts w:cs="Calibri"/>
          <w:szCs w:val="22"/>
        </w:rPr>
      </w:pPr>
    </w:p>
    <w:p w14:paraId="56D86B91" w14:textId="77777777" w:rsidR="00645186" w:rsidRDefault="00645186" w:rsidP="00645186">
      <w:pPr>
        <w:widowControl w:val="0"/>
        <w:rPr>
          <w:rFonts w:cs="Calibri"/>
          <w:szCs w:val="22"/>
        </w:rPr>
      </w:pPr>
    </w:p>
    <w:p w14:paraId="47A37D08" w14:textId="77777777" w:rsidR="00645186" w:rsidRDefault="00645186" w:rsidP="003B10E9">
      <w:pPr>
        <w:pStyle w:val="Nadpis1"/>
        <w:keepNext w:val="0"/>
        <w:widowControl w:val="0"/>
        <w:numPr>
          <w:ilvl w:val="0"/>
          <w:numId w:val="15"/>
        </w:numPr>
        <w:spacing w:after="240"/>
        <w:ind w:left="357" w:hanging="357"/>
        <w:rPr>
          <w:rFonts w:cs="Times New Roman"/>
        </w:rPr>
      </w:pPr>
      <w:r>
        <w:rPr>
          <w:b w:val="0"/>
          <w:szCs w:val="22"/>
          <w:lang w:val="x-none" w:eastAsia="x-none"/>
        </w:rPr>
        <w:br w:type="page"/>
      </w:r>
      <w:bookmarkStart w:id="2" w:name="_Toc226714691"/>
      <w:bookmarkStart w:id="3" w:name="_Toc101358580"/>
      <w:r w:rsidRPr="003B10E9">
        <w:rPr>
          <w:rFonts w:cs="Times New Roman"/>
          <w:lang w:val="x-none" w:eastAsia="x-none"/>
        </w:rPr>
        <w:lastRenderedPageBreak/>
        <w:t>Základní údaje o Veřejné zakázce</w:t>
      </w:r>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4705"/>
      </w:tblGrid>
      <w:tr w:rsidR="00645186" w14:paraId="2A520040" w14:textId="77777777" w:rsidTr="00645186">
        <w:trPr>
          <w:trHeight w:val="1625"/>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66007033" w14:textId="77777777" w:rsidR="00645186" w:rsidRDefault="00645186">
            <w:pPr>
              <w:widowControl w:val="0"/>
              <w:spacing w:before="0" w:after="120"/>
              <w:jc w:val="left"/>
              <w:rPr>
                <w:rFonts w:cs="Calibri"/>
                <w:b/>
                <w:szCs w:val="22"/>
              </w:rPr>
            </w:pPr>
            <w:r>
              <w:rPr>
                <w:rFonts w:cs="Calibri"/>
                <w:b/>
                <w:szCs w:val="22"/>
              </w:rPr>
              <w:t xml:space="preserve">Zadavatel:  </w:t>
            </w:r>
          </w:p>
        </w:tc>
        <w:tc>
          <w:tcPr>
            <w:tcW w:w="4827" w:type="dxa"/>
            <w:tcBorders>
              <w:top w:val="single" w:sz="4" w:space="0" w:color="auto"/>
              <w:left w:val="single" w:sz="4" w:space="0" w:color="auto"/>
              <w:bottom w:val="single" w:sz="4" w:space="0" w:color="auto"/>
              <w:right w:val="single" w:sz="4" w:space="0" w:color="auto"/>
            </w:tcBorders>
            <w:hideMark/>
          </w:tcPr>
          <w:p w14:paraId="39DD3BA1" w14:textId="77777777" w:rsidR="00645186" w:rsidRDefault="00645186">
            <w:pPr>
              <w:widowControl w:val="0"/>
              <w:spacing w:before="0" w:after="0" w:line="240" w:lineRule="auto"/>
              <w:jc w:val="left"/>
              <w:rPr>
                <w:rFonts w:cs="Calibri"/>
                <w:b/>
                <w:szCs w:val="22"/>
              </w:rPr>
            </w:pPr>
            <w:r>
              <w:rPr>
                <w:rFonts w:cs="Calibri"/>
                <w:b/>
                <w:szCs w:val="22"/>
              </w:rPr>
              <w:t>Královéhradecký kraj</w:t>
            </w:r>
          </w:p>
          <w:p w14:paraId="774566ED" w14:textId="77777777" w:rsidR="00645186" w:rsidRDefault="00645186">
            <w:pPr>
              <w:widowControl w:val="0"/>
              <w:spacing w:before="120" w:after="120" w:line="240" w:lineRule="auto"/>
              <w:jc w:val="left"/>
              <w:rPr>
                <w:rFonts w:cs="Calibri"/>
                <w:szCs w:val="22"/>
              </w:rPr>
            </w:pPr>
            <w:r>
              <w:rPr>
                <w:rFonts w:cs="Calibri"/>
                <w:szCs w:val="22"/>
              </w:rPr>
              <w:t xml:space="preserve">se sídlem: </w:t>
            </w:r>
            <w:r>
              <w:rPr>
                <w:rFonts w:cs="Calibri"/>
                <w:szCs w:val="22"/>
                <w:shd w:val="clear" w:color="auto" w:fill="FFFFFF"/>
              </w:rPr>
              <w:t>Pivovarské náměstí 1245/2, 500 03 Hradec Králové</w:t>
            </w:r>
          </w:p>
          <w:p w14:paraId="3C8A9154" w14:textId="77777777" w:rsidR="00645186" w:rsidRDefault="00645186">
            <w:pPr>
              <w:widowControl w:val="0"/>
              <w:spacing w:before="120" w:after="120" w:line="240" w:lineRule="auto"/>
              <w:jc w:val="left"/>
              <w:rPr>
                <w:rFonts w:cs="Calibri"/>
                <w:szCs w:val="22"/>
              </w:rPr>
            </w:pPr>
            <w:r>
              <w:rPr>
                <w:rFonts w:cs="Calibri"/>
                <w:szCs w:val="22"/>
              </w:rPr>
              <w:t>IČO: 70889546, DIČ: CZ70889546</w:t>
            </w:r>
          </w:p>
          <w:p w14:paraId="2AF6077A" w14:textId="77777777" w:rsidR="00645186" w:rsidRDefault="00645186">
            <w:pPr>
              <w:widowControl w:val="0"/>
              <w:spacing w:before="120" w:after="120" w:line="240" w:lineRule="auto"/>
              <w:jc w:val="left"/>
              <w:rPr>
                <w:rFonts w:cs="Calibri"/>
                <w:szCs w:val="22"/>
              </w:rPr>
            </w:pPr>
            <w:r>
              <w:rPr>
                <w:rFonts w:cs="Calibri"/>
                <w:szCs w:val="22"/>
              </w:rPr>
              <w:t xml:space="preserve">zastoupený: Mgr. Martinem Červíčkem, hejtmanem </w:t>
            </w:r>
          </w:p>
          <w:p w14:paraId="3B89A37F" w14:textId="77777777" w:rsidR="00645186" w:rsidRDefault="00645186">
            <w:pPr>
              <w:widowControl w:val="0"/>
              <w:spacing w:before="0" w:after="0"/>
              <w:jc w:val="left"/>
              <w:rPr>
                <w:szCs w:val="22"/>
              </w:rPr>
            </w:pPr>
            <w:r>
              <w:rPr>
                <w:rFonts w:cs="Calibri"/>
                <w:szCs w:val="22"/>
              </w:rPr>
              <w:t>(dále jen „</w:t>
            </w:r>
            <w:r>
              <w:rPr>
                <w:rFonts w:cs="Calibri"/>
                <w:b/>
                <w:i/>
                <w:szCs w:val="22"/>
              </w:rPr>
              <w:t>Zadavatel</w:t>
            </w:r>
            <w:r>
              <w:rPr>
                <w:rFonts w:cs="Calibri"/>
                <w:szCs w:val="22"/>
              </w:rPr>
              <w:t>“).</w:t>
            </w:r>
          </w:p>
        </w:tc>
      </w:tr>
      <w:tr w:rsidR="00645186" w14:paraId="4437CBE7" w14:textId="77777777" w:rsidTr="00645186">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26E06B2C" w14:textId="77777777" w:rsidR="00645186" w:rsidRDefault="00645186">
            <w:pPr>
              <w:widowControl w:val="0"/>
              <w:spacing w:before="120" w:after="120"/>
              <w:jc w:val="left"/>
              <w:rPr>
                <w:rFonts w:cs="Calibri"/>
                <w:b/>
                <w:szCs w:val="22"/>
              </w:rPr>
            </w:pPr>
            <w:r>
              <w:rPr>
                <w:rFonts w:cs="Calibri"/>
                <w:b/>
                <w:szCs w:val="22"/>
              </w:rPr>
              <w:t>Zástupce Zadavatele podle § 43 ZZVZ:</w:t>
            </w:r>
          </w:p>
        </w:tc>
        <w:tc>
          <w:tcPr>
            <w:tcW w:w="4827" w:type="dxa"/>
            <w:tcBorders>
              <w:top w:val="single" w:sz="4" w:space="0" w:color="auto"/>
              <w:left w:val="single" w:sz="4" w:space="0" w:color="auto"/>
              <w:bottom w:val="single" w:sz="4" w:space="0" w:color="auto"/>
              <w:right w:val="single" w:sz="4" w:space="0" w:color="auto"/>
            </w:tcBorders>
            <w:hideMark/>
          </w:tcPr>
          <w:p w14:paraId="2D782534" w14:textId="77777777" w:rsidR="00E46FCA" w:rsidRDefault="00E46FCA" w:rsidP="00E46FCA">
            <w:pPr>
              <w:widowControl w:val="0"/>
              <w:spacing w:before="120" w:after="120" w:line="240" w:lineRule="auto"/>
              <w:jc w:val="left"/>
              <w:rPr>
                <w:rFonts w:cs="Calibri"/>
                <w:b/>
                <w:szCs w:val="22"/>
              </w:rPr>
            </w:pPr>
            <w:r>
              <w:rPr>
                <w:rFonts w:cs="Calibri"/>
                <w:b/>
                <w:szCs w:val="22"/>
              </w:rPr>
              <w:t>HOLEC, ZUSKA &amp; PARTNEŘI advokátní s.r.o.</w:t>
            </w:r>
          </w:p>
          <w:p w14:paraId="75380611" w14:textId="77777777" w:rsidR="00E46FCA" w:rsidRDefault="00E46FCA" w:rsidP="00E46FCA">
            <w:pPr>
              <w:widowControl w:val="0"/>
              <w:spacing w:before="120" w:after="120" w:line="240" w:lineRule="auto"/>
              <w:jc w:val="left"/>
              <w:rPr>
                <w:rFonts w:cs="Calibri"/>
                <w:szCs w:val="22"/>
              </w:rPr>
            </w:pPr>
            <w:r>
              <w:rPr>
                <w:rFonts w:cs="Calibri"/>
                <w:szCs w:val="22"/>
              </w:rPr>
              <w:t>se sídlem: Radlická 3185/1c</w:t>
            </w:r>
          </w:p>
          <w:p w14:paraId="014DB3A4" w14:textId="77777777" w:rsidR="00E46FCA" w:rsidRPr="003F3C58" w:rsidRDefault="00E46FCA" w:rsidP="00E46FCA">
            <w:pPr>
              <w:widowControl w:val="0"/>
              <w:spacing w:before="120" w:after="120" w:line="240" w:lineRule="auto"/>
              <w:jc w:val="left"/>
              <w:rPr>
                <w:rFonts w:cs="Calibri"/>
                <w:szCs w:val="22"/>
              </w:rPr>
            </w:pPr>
            <w:r w:rsidRPr="003F3C58">
              <w:rPr>
                <w:rFonts w:cs="Calibri"/>
                <w:szCs w:val="22"/>
              </w:rPr>
              <w:t xml:space="preserve">IČO: </w:t>
            </w:r>
            <w:r>
              <w:rPr>
                <w:rFonts w:ascii="Verdana" w:hAnsi="Verdana"/>
                <w:color w:val="333333"/>
                <w:sz w:val="18"/>
                <w:szCs w:val="18"/>
                <w:shd w:val="clear" w:color="auto" w:fill="FFFFFF"/>
              </w:rPr>
              <w:t>07759711</w:t>
            </w:r>
          </w:p>
          <w:p w14:paraId="1CF138A0" w14:textId="77777777" w:rsidR="00E46FCA" w:rsidRPr="003F3C58" w:rsidRDefault="00E46FCA" w:rsidP="00E46FCA">
            <w:pPr>
              <w:widowControl w:val="0"/>
              <w:spacing w:before="120" w:after="120" w:line="240" w:lineRule="auto"/>
              <w:jc w:val="left"/>
              <w:rPr>
                <w:rFonts w:cs="Calibri"/>
                <w:szCs w:val="22"/>
              </w:rPr>
            </w:pPr>
            <w:r>
              <w:rPr>
                <w:rFonts w:cs="Calibri"/>
                <w:szCs w:val="22"/>
              </w:rPr>
              <w:t>k</w:t>
            </w:r>
            <w:r w:rsidRPr="003F3C58">
              <w:rPr>
                <w:rFonts w:cs="Calibri"/>
                <w:szCs w:val="22"/>
              </w:rPr>
              <w:t>ontaktní osoba</w:t>
            </w:r>
            <w:r w:rsidRPr="00E25823">
              <w:rPr>
                <w:rFonts w:cs="Calibri"/>
                <w:szCs w:val="22"/>
              </w:rPr>
              <w:t>: Mgr. Kateřina Godycká</w:t>
            </w:r>
          </w:p>
          <w:p w14:paraId="6D1625BE" w14:textId="77777777" w:rsidR="00E46FCA" w:rsidRPr="003F3C58" w:rsidRDefault="00E46FCA" w:rsidP="00E46FCA">
            <w:pPr>
              <w:widowControl w:val="0"/>
              <w:spacing w:before="120" w:after="120" w:line="240" w:lineRule="auto"/>
              <w:jc w:val="left"/>
              <w:rPr>
                <w:rFonts w:cs="Calibri"/>
                <w:szCs w:val="22"/>
              </w:rPr>
            </w:pPr>
            <w:r w:rsidRPr="003F3C58">
              <w:rPr>
                <w:rFonts w:cs="Calibri"/>
                <w:szCs w:val="22"/>
              </w:rPr>
              <w:t xml:space="preserve">e-mail: </w:t>
            </w:r>
            <w:r w:rsidRPr="00E25823">
              <w:rPr>
                <w:rStyle w:val="Hypertextovodkaz"/>
                <w:rFonts w:cs="Calibri"/>
                <w:szCs w:val="22"/>
              </w:rPr>
              <w:t>z</w:t>
            </w:r>
            <w:r w:rsidRPr="00E25823">
              <w:rPr>
                <w:rStyle w:val="Hypertextovodkaz"/>
              </w:rPr>
              <w:t>akazky@holec-advokati.cz</w:t>
            </w:r>
          </w:p>
          <w:p w14:paraId="05B2EAA4" w14:textId="77777777" w:rsidR="00E46FCA" w:rsidRPr="003F3C58" w:rsidRDefault="00E46FCA" w:rsidP="00E46FCA">
            <w:pPr>
              <w:widowControl w:val="0"/>
              <w:spacing w:before="120" w:after="120" w:line="240" w:lineRule="auto"/>
              <w:jc w:val="left"/>
              <w:rPr>
                <w:rFonts w:cs="Calibri"/>
                <w:szCs w:val="22"/>
              </w:rPr>
            </w:pPr>
            <w:r>
              <w:rPr>
                <w:rFonts w:cs="Calibri"/>
                <w:szCs w:val="22"/>
              </w:rPr>
              <w:t>tel.: +420 296 325 235</w:t>
            </w:r>
          </w:p>
          <w:p w14:paraId="5DEC103D" w14:textId="3BE05425" w:rsidR="00645186" w:rsidRDefault="00E46FCA" w:rsidP="00E46FCA">
            <w:pPr>
              <w:widowControl w:val="0"/>
              <w:spacing w:before="120" w:after="120"/>
              <w:jc w:val="left"/>
              <w:rPr>
                <w:rFonts w:cs="Calibri"/>
                <w:szCs w:val="22"/>
              </w:rPr>
            </w:pPr>
            <w:r w:rsidRPr="00453D09">
              <w:rPr>
                <w:rFonts w:cs="Calibri"/>
                <w:szCs w:val="22"/>
              </w:rPr>
              <w:t>(dále pro účely</w:t>
            </w:r>
            <w:r>
              <w:rPr>
                <w:rFonts w:cs="Calibri"/>
                <w:szCs w:val="22"/>
              </w:rPr>
              <w:t xml:space="preserve"> </w:t>
            </w:r>
            <w:r w:rsidRPr="00453D09">
              <w:rPr>
                <w:rFonts w:cs="Calibri"/>
                <w:szCs w:val="22"/>
              </w:rPr>
              <w:t>Zadávací dokumentace jen „</w:t>
            </w:r>
            <w:r w:rsidRPr="00453D09">
              <w:rPr>
                <w:rFonts w:cs="Calibri"/>
                <w:b/>
                <w:i/>
                <w:szCs w:val="22"/>
              </w:rPr>
              <w:t>Pověřená osoba</w:t>
            </w:r>
            <w:r w:rsidRPr="00453D09">
              <w:rPr>
                <w:rFonts w:cs="Calibri"/>
                <w:szCs w:val="22"/>
              </w:rPr>
              <w:t>“).</w:t>
            </w:r>
          </w:p>
        </w:tc>
      </w:tr>
      <w:tr w:rsidR="00645186" w14:paraId="191E59A1" w14:textId="77777777" w:rsidTr="00E46FCA">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2B962B4B" w14:textId="77777777" w:rsidR="00645186" w:rsidRDefault="00645186">
            <w:pPr>
              <w:widowControl w:val="0"/>
              <w:spacing w:before="120" w:after="120"/>
              <w:jc w:val="left"/>
              <w:rPr>
                <w:rFonts w:cs="Calibri"/>
                <w:b/>
                <w:szCs w:val="22"/>
              </w:rPr>
            </w:pPr>
            <w:r>
              <w:rPr>
                <w:rFonts w:cs="Calibri"/>
                <w:b/>
                <w:szCs w:val="22"/>
              </w:rPr>
              <w:t>CPV kód:</w:t>
            </w:r>
          </w:p>
        </w:tc>
        <w:tc>
          <w:tcPr>
            <w:tcW w:w="4827" w:type="dxa"/>
            <w:tcBorders>
              <w:top w:val="single" w:sz="4" w:space="0" w:color="auto"/>
              <w:left w:val="single" w:sz="4" w:space="0" w:color="auto"/>
              <w:bottom w:val="single" w:sz="4" w:space="0" w:color="auto"/>
              <w:right w:val="single" w:sz="4" w:space="0" w:color="auto"/>
            </w:tcBorders>
            <w:shd w:val="clear" w:color="auto" w:fill="auto"/>
            <w:hideMark/>
          </w:tcPr>
          <w:p w14:paraId="3B07B5F0" w14:textId="77777777" w:rsidR="00645186" w:rsidRPr="00E46FCA" w:rsidRDefault="00645186">
            <w:pPr>
              <w:pStyle w:val="Textkomente"/>
              <w:jc w:val="left"/>
              <w:rPr>
                <w:rFonts w:cs="Calibri"/>
                <w:sz w:val="22"/>
                <w:szCs w:val="22"/>
              </w:rPr>
            </w:pPr>
            <w:r w:rsidRPr="00E46FCA">
              <w:rPr>
                <w:rFonts w:cs="Calibri"/>
                <w:sz w:val="22"/>
                <w:szCs w:val="22"/>
              </w:rPr>
              <w:t>75200000-8 Zajišťování služeb pro veřejnost</w:t>
            </w:r>
          </w:p>
          <w:p w14:paraId="31DB7BED" w14:textId="77777777" w:rsidR="00645186" w:rsidRPr="00E46FCA" w:rsidRDefault="00645186">
            <w:pPr>
              <w:pStyle w:val="Textkomente"/>
              <w:jc w:val="left"/>
              <w:rPr>
                <w:rFonts w:cs="Calibri"/>
                <w:sz w:val="22"/>
                <w:szCs w:val="22"/>
              </w:rPr>
            </w:pPr>
            <w:r w:rsidRPr="00E46FCA">
              <w:rPr>
                <w:rFonts w:cs="Calibri"/>
                <w:sz w:val="22"/>
                <w:szCs w:val="22"/>
              </w:rPr>
              <w:t>85300000-2 Sociální péče a související služby</w:t>
            </w:r>
          </w:p>
          <w:p w14:paraId="4C2DEE5E" w14:textId="77777777" w:rsidR="00645186" w:rsidRPr="00E46FCA" w:rsidRDefault="00645186">
            <w:pPr>
              <w:pStyle w:val="Textkomente"/>
              <w:jc w:val="left"/>
              <w:rPr>
                <w:sz w:val="22"/>
                <w:szCs w:val="22"/>
              </w:rPr>
            </w:pPr>
            <w:r w:rsidRPr="00E46FCA">
              <w:rPr>
                <w:rFonts w:cs="Calibri"/>
                <w:sz w:val="22"/>
                <w:szCs w:val="22"/>
              </w:rPr>
              <w:t>98000000-3 Jiné služby pro veřejnost, sociální služby a služby jednotlivcům</w:t>
            </w:r>
          </w:p>
        </w:tc>
      </w:tr>
      <w:tr w:rsidR="00645186" w14:paraId="5ECA3015" w14:textId="77777777" w:rsidTr="00645186">
        <w:trPr>
          <w:trHeight w:val="761"/>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3C6121EC" w14:textId="77777777" w:rsidR="00645186" w:rsidRDefault="00645186">
            <w:pPr>
              <w:widowControl w:val="0"/>
              <w:spacing w:before="120" w:after="120"/>
              <w:jc w:val="left"/>
              <w:rPr>
                <w:rFonts w:cs="Calibri"/>
                <w:b/>
                <w:szCs w:val="22"/>
              </w:rPr>
            </w:pPr>
            <w:r>
              <w:rPr>
                <w:rFonts w:cs="Calibri"/>
                <w:b/>
                <w:szCs w:val="22"/>
              </w:rPr>
              <w:t xml:space="preserve">Název Veřejné zakázky: </w:t>
            </w:r>
          </w:p>
        </w:tc>
        <w:tc>
          <w:tcPr>
            <w:tcW w:w="4827" w:type="dxa"/>
            <w:tcBorders>
              <w:top w:val="single" w:sz="4" w:space="0" w:color="auto"/>
              <w:left w:val="single" w:sz="4" w:space="0" w:color="auto"/>
              <w:bottom w:val="single" w:sz="4" w:space="0" w:color="auto"/>
              <w:right w:val="single" w:sz="4" w:space="0" w:color="auto"/>
            </w:tcBorders>
            <w:hideMark/>
          </w:tcPr>
          <w:p w14:paraId="755F298E" w14:textId="402193C6" w:rsidR="00645186" w:rsidRDefault="00795D65">
            <w:pPr>
              <w:pStyle w:val="Normlnzarovantdobloku"/>
              <w:widowControl w:val="0"/>
              <w:spacing w:before="120" w:after="120" w:line="276" w:lineRule="auto"/>
              <w:jc w:val="left"/>
              <w:rPr>
                <w:rFonts w:cs="Calibri"/>
                <w:b/>
                <w:bCs/>
                <w:szCs w:val="22"/>
              </w:rPr>
            </w:pPr>
            <w:r w:rsidRPr="00795D65">
              <w:rPr>
                <w:rFonts w:cs="Calibri"/>
                <w:b/>
                <w:sz w:val="22"/>
                <w:szCs w:val="22"/>
              </w:rPr>
              <w:t>Dílčí část 1</w:t>
            </w:r>
            <w:r w:rsidR="0031579A">
              <w:rPr>
                <w:rFonts w:cs="Calibri"/>
                <w:b/>
                <w:sz w:val="22"/>
                <w:szCs w:val="22"/>
              </w:rPr>
              <w:t>3</w:t>
            </w:r>
            <w:r w:rsidRPr="00795D65">
              <w:rPr>
                <w:rFonts w:cs="Calibri"/>
                <w:b/>
                <w:sz w:val="22"/>
                <w:szCs w:val="22"/>
              </w:rPr>
              <w:t xml:space="preserve"> – Azylové domy – osoby bez přístřeší</w:t>
            </w:r>
            <w:r w:rsidR="0031579A">
              <w:rPr>
                <w:rFonts w:cs="Calibri"/>
                <w:b/>
                <w:sz w:val="22"/>
                <w:szCs w:val="22"/>
              </w:rPr>
              <w:t xml:space="preserve">, </w:t>
            </w:r>
            <w:r w:rsidR="0031579A" w:rsidRPr="0031579A">
              <w:rPr>
                <w:rFonts w:cs="Calibri"/>
                <w:b/>
                <w:sz w:val="22"/>
                <w:szCs w:val="22"/>
              </w:rPr>
              <w:t xml:space="preserve">oběti domácího </w:t>
            </w:r>
            <w:proofErr w:type="gramStart"/>
            <w:r w:rsidR="0031579A" w:rsidRPr="0031579A">
              <w:rPr>
                <w:rFonts w:cs="Calibri"/>
                <w:b/>
                <w:sz w:val="22"/>
                <w:szCs w:val="22"/>
              </w:rPr>
              <w:t>násilí - Náchodsko</w:t>
            </w:r>
            <w:proofErr w:type="gramEnd"/>
          </w:p>
        </w:tc>
      </w:tr>
      <w:tr w:rsidR="00645186" w14:paraId="05001E5D" w14:textId="77777777" w:rsidTr="00645186">
        <w:trPr>
          <w:trHeight w:val="583"/>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0DA38D71" w14:textId="77777777" w:rsidR="00645186" w:rsidRDefault="00645186">
            <w:pPr>
              <w:widowControl w:val="0"/>
              <w:spacing w:before="120" w:after="120"/>
              <w:jc w:val="left"/>
              <w:rPr>
                <w:rFonts w:cs="Calibri"/>
                <w:szCs w:val="22"/>
              </w:rPr>
            </w:pPr>
            <w:r>
              <w:rPr>
                <w:rFonts w:cs="Calibri"/>
                <w:b/>
                <w:szCs w:val="22"/>
              </w:rPr>
              <w:t>Dostupnost Zadávací dokumentace dle § 96 ZZVZ</w:t>
            </w:r>
          </w:p>
        </w:tc>
        <w:tc>
          <w:tcPr>
            <w:tcW w:w="4827" w:type="dxa"/>
            <w:tcBorders>
              <w:top w:val="single" w:sz="4" w:space="0" w:color="auto"/>
              <w:left w:val="single" w:sz="4" w:space="0" w:color="auto"/>
              <w:bottom w:val="single" w:sz="4" w:space="0" w:color="auto"/>
              <w:right w:val="single" w:sz="4" w:space="0" w:color="auto"/>
            </w:tcBorders>
            <w:hideMark/>
          </w:tcPr>
          <w:p w14:paraId="5675EC89" w14:textId="77777777" w:rsidR="00645186" w:rsidRDefault="00645186">
            <w:pPr>
              <w:pStyle w:val="Normlnzarovantdobloku"/>
              <w:widowControl w:val="0"/>
              <w:spacing w:before="120" w:after="120" w:line="276" w:lineRule="auto"/>
              <w:jc w:val="left"/>
              <w:rPr>
                <w:rFonts w:cs="Calibri"/>
                <w:bCs/>
                <w:sz w:val="22"/>
                <w:szCs w:val="22"/>
              </w:rPr>
            </w:pPr>
            <w:r>
              <w:rPr>
                <w:rFonts w:cs="Calibri"/>
                <w:bCs/>
                <w:sz w:val="22"/>
                <w:szCs w:val="22"/>
              </w:rPr>
              <w:t>Zadávací dokumentace je uveřejněna na profilu Zadavatele v plném rozsahu.</w:t>
            </w:r>
          </w:p>
        </w:tc>
      </w:tr>
      <w:tr w:rsidR="00645186" w14:paraId="5EDED1C0" w14:textId="77777777" w:rsidTr="00645186">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70997A0C" w14:textId="77777777" w:rsidR="00645186" w:rsidRDefault="00645186">
            <w:pPr>
              <w:widowControl w:val="0"/>
              <w:spacing w:before="120" w:after="120"/>
              <w:jc w:val="left"/>
              <w:rPr>
                <w:rFonts w:cs="Calibri"/>
                <w:b/>
                <w:szCs w:val="22"/>
              </w:rPr>
            </w:pPr>
            <w:r>
              <w:rPr>
                <w:rFonts w:cs="Calibri"/>
                <w:b/>
                <w:szCs w:val="22"/>
              </w:rPr>
              <w:t>Lhůta pro podání Nabídek:</w:t>
            </w:r>
          </w:p>
        </w:tc>
        <w:tc>
          <w:tcPr>
            <w:tcW w:w="4827" w:type="dxa"/>
            <w:tcBorders>
              <w:top w:val="single" w:sz="4" w:space="0" w:color="auto"/>
              <w:left w:val="single" w:sz="4" w:space="0" w:color="auto"/>
              <w:bottom w:val="single" w:sz="4" w:space="0" w:color="auto"/>
              <w:right w:val="single" w:sz="4" w:space="0" w:color="auto"/>
            </w:tcBorders>
            <w:hideMark/>
          </w:tcPr>
          <w:p w14:paraId="4AEC1B44" w14:textId="77777777" w:rsidR="00645186" w:rsidRDefault="00645186">
            <w:pPr>
              <w:pStyle w:val="Normlnzarovantdobloku"/>
              <w:widowControl w:val="0"/>
              <w:spacing w:before="120" w:after="120" w:line="276" w:lineRule="auto"/>
              <w:jc w:val="left"/>
              <w:rPr>
                <w:rFonts w:cs="Calibri"/>
                <w:b/>
                <w:bCs/>
                <w:sz w:val="22"/>
                <w:szCs w:val="22"/>
              </w:rPr>
            </w:pPr>
            <w:r>
              <w:rPr>
                <w:rFonts w:cs="Calibri"/>
                <w:sz w:val="22"/>
                <w:szCs w:val="22"/>
              </w:rPr>
              <w:t>Dle uveřejněného Oznámení o zahájení veřejné zakázky</w:t>
            </w:r>
            <w:r>
              <w:rPr>
                <w:rFonts w:cs="Calibri"/>
                <w:spacing w:val="-1"/>
                <w:sz w:val="22"/>
                <w:szCs w:val="22"/>
              </w:rPr>
              <w:t xml:space="preserve"> (dále jen „</w:t>
            </w:r>
            <w:r>
              <w:rPr>
                <w:rFonts w:cs="Calibri"/>
                <w:b/>
                <w:i/>
                <w:spacing w:val="-1"/>
                <w:sz w:val="22"/>
                <w:szCs w:val="22"/>
              </w:rPr>
              <w:t>Oznámení</w:t>
            </w:r>
            <w:r>
              <w:rPr>
                <w:rFonts w:cs="Calibri"/>
                <w:spacing w:val="-1"/>
                <w:sz w:val="22"/>
                <w:szCs w:val="22"/>
              </w:rPr>
              <w:t>“).</w:t>
            </w:r>
          </w:p>
        </w:tc>
      </w:tr>
    </w:tbl>
    <w:p w14:paraId="2521889F" w14:textId="77777777" w:rsidR="00645186" w:rsidRDefault="00645186" w:rsidP="00645186">
      <w:pPr>
        <w:pStyle w:val="Nadpis1"/>
        <w:ind w:left="709"/>
        <w:rPr>
          <w:rFonts w:cs="Times New Roman"/>
        </w:rPr>
      </w:pPr>
      <w:bookmarkStart w:id="4" w:name="_Toc288567139"/>
      <w:bookmarkStart w:id="5" w:name="_Toc288567140"/>
      <w:bookmarkStart w:id="6" w:name="_Toc288567141"/>
      <w:bookmarkEnd w:id="4"/>
      <w:bookmarkEnd w:id="5"/>
      <w:bookmarkEnd w:id="6"/>
    </w:p>
    <w:p w14:paraId="1282F562" w14:textId="77777777" w:rsidR="00645186" w:rsidRDefault="00645186" w:rsidP="003B10E9">
      <w:pPr>
        <w:pStyle w:val="Nadpis1"/>
        <w:keepNext w:val="0"/>
        <w:widowControl w:val="0"/>
        <w:numPr>
          <w:ilvl w:val="0"/>
          <w:numId w:val="15"/>
        </w:numPr>
        <w:spacing w:after="240"/>
        <w:ind w:left="357" w:hanging="357"/>
      </w:pPr>
      <w:r>
        <w:rPr>
          <w:b w:val="0"/>
          <w:szCs w:val="22"/>
          <w:lang w:eastAsia="x-none"/>
        </w:rPr>
        <w:br w:type="page"/>
      </w:r>
      <w:bookmarkStart w:id="7" w:name="_Toc226714692"/>
      <w:bookmarkStart w:id="8" w:name="_Toc101358581"/>
      <w:r w:rsidRPr="003B10E9">
        <w:rPr>
          <w:rFonts w:cs="Times New Roman"/>
          <w:lang w:val="x-none" w:eastAsia="x-none"/>
        </w:rPr>
        <w:lastRenderedPageBreak/>
        <w:t>Vymezení předmětu Veřejné zakázky</w:t>
      </w:r>
      <w:bookmarkStart w:id="9" w:name="_Toc226714693"/>
      <w:bookmarkEnd w:id="7"/>
      <w:bookmarkEnd w:id="8"/>
    </w:p>
    <w:p w14:paraId="450C7E3A" w14:textId="77777777" w:rsidR="00645186" w:rsidRPr="003B10E9" w:rsidRDefault="00645186" w:rsidP="003B10E9">
      <w:pPr>
        <w:pStyle w:val="Nadpis2"/>
        <w:keepNext w:val="0"/>
        <w:widowControl w:val="0"/>
        <w:numPr>
          <w:ilvl w:val="1"/>
          <w:numId w:val="15"/>
        </w:numPr>
        <w:spacing w:after="240"/>
        <w:ind w:left="357" w:hanging="357"/>
        <w:rPr>
          <w:rFonts w:cs="Times New Roman"/>
          <w:sz w:val="22"/>
          <w:szCs w:val="22"/>
          <w:lang w:val="x-none" w:eastAsia="en-US"/>
        </w:rPr>
      </w:pPr>
      <w:r w:rsidRPr="003B10E9">
        <w:rPr>
          <w:rFonts w:cs="Times New Roman"/>
          <w:sz w:val="22"/>
          <w:szCs w:val="22"/>
          <w:lang w:val="x-none" w:eastAsia="en-US"/>
        </w:rPr>
        <w:t>Obecné vymezení předmětu Veřejné zakázky</w:t>
      </w:r>
    </w:p>
    <w:p w14:paraId="0B5357CE" w14:textId="3ED7784C" w:rsidR="00645186" w:rsidRDefault="00645186"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Předmětem této Veřejné zakázky je zajištění služby </w:t>
      </w:r>
      <w:r w:rsidR="00795D65">
        <w:rPr>
          <w:rFonts w:ascii="Calibri" w:eastAsia="Calibri" w:hAnsi="Calibri" w:cs="Calibri"/>
          <w:sz w:val="22"/>
          <w:szCs w:val="22"/>
        </w:rPr>
        <w:t>a</w:t>
      </w:r>
      <w:r w:rsidR="00795D65" w:rsidRPr="00795D65">
        <w:rPr>
          <w:rFonts w:ascii="Calibri" w:eastAsia="Calibri" w:hAnsi="Calibri" w:cs="Calibri"/>
          <w:sz w:val="22"/>
          <w:szCs w:val="22"/>
        </w:rPr>
        <w:t>zylové</w:t>
      </w:r>
      <w:r w:rsidR="00795D65">
        <w:rPr>
          <w:rFonts w:ascii="Calibri" w:eastAsia="Calibri" w:hAnsi="Calibri" w:cs="Calibri"/>
          <w:sz w:val="22"/>
          <w:szCs w:val="22"/>
        </w:rPr>
        <w:t>ho</w:t>
      </w:r>
      <w:r w:rsidR="00795D65" w:rsidRPr="00795D65">
        <w:rPr>
          <w:rFonts w:ascii="Calibri" w:eastAsia="Calibri" w:hAnsi="Calibri" w:cs="Calibri"/>
          <w:sz w:val="22"/>
          <w:szCs w:val="22"/>
        </w:rPr>
        <w:t xml:space="preserve"> dom</w:t>
      </w:r>
      <w:r w:rsidR="00795D65">
        <w:rPr>
          <w:rFonts w:ascii="Calibri" w:eastAsia="Calibri" w:hAnsi="Calibri" w:cs="Calibri"/>
          <w:sz w:val="22"/>
          <w:szCs w:val="22"/>
        </w:rPr>
        <w:t>u</w:t>
      </w:r>
      <w:r w:rsidR="00795D65" w:rsidRPr="00795D65">
        <w:rPr>
          <w:rFonts w:ascii="Calibri" w:eastAsia="Calibri" w:hAnsi="Calibri" w:cs="Calibri"/>
          <w:sz w:val="22"/>
          <w:szCs w:val="22"/>
        </w:rPr>
        <w:t xml:space="preserve"> </w:t>
      </w:r>
      <w:r w:rsidR="00795D65">
        <w:rPr>
          <w:rFonts w:ascii="Calibri" w:eastAsia="Calibri" w:hAnsi="Calibri" w:cs="Calibri"/>
          <w:sz w:val="22"/>
          <w:szCs w:val="22"/>
        </w:rPr>
        <w:t>pro</w:t>
      </w:r>
      <w:r w:rsidR="00795D65" w:rsidRPr="00795D65">
        <w:rPr>
          <w:rFonts w:ascii="Calibri" w:eastAsia="Calibri" w:hAnsi="Calibri" w:cs="Calibri"/>
          <w:sz w:val="22"/>
          <w:szCs w:val="22"/>
        </w:rPr>
        <w:t xml:space="preserve"> osoby bez přístřeší</w:t>
      </w:r>
      <w:r w:rsidR="0031579A">
        <w:rPr>
          <w:rFonts w:ascii="Calibri" w:eastAsia="Calibri" w:hAnsi="Calibri" w:cs="Calibri"/>
          <w:sz w:val="22"/>
          <w:szCs w:val="22"/>
        </w:rPr>
        <w:t xml:space="preserve"> a </w:t>
      </w:r>
      <w:r w:rsidR="0031579A" w:rsidRPr="0031579A">
        <w:rPr>
          <w:rFonts w:ascii="Calibri" w:eastAsia="Calibri" w:hAnsi="Calibri" w:cs="Calibri"/>
          <w:sz w:val="22"/>
          <w:szCs w:val="22"/>
        </w:rPr>
        <w:t>oběti domácího násilí</w:t>
      </w:r>
      <w:r w:rsidR="0031579A">
        <w:rPr>
          <w:rFonts w:ascii="Calibri" w:eastAsia="Calibri" w:hAnsi="Calibri" w:cs="Calibri"/>
          <w:sz w:val="22"/>
          <w:szCs w:val="22"/>
        </w:rPr>
        <w:t>.</w:t>
      </w:r>
    </w:p>
    <w:p w14:paraId="175C406C" w14:textId="6504C405" w:rsidR="00645186" w:rsidRDefault="004664ED"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Zadavatel předpokládá, že p</w:t>
      </w:r>
      <w:r w:rsidRPr="001C7990">
        <w:rPr>
          <w:rFonts w:ascii="Calibri" w:eastAsia="Calibri" w:hAnsi="Calibri" w:cs="Calibri"/>
          <w:sz w:val="22"/>
          <w:szCs w:val="22"/>
        </w:rPr>
        <w:t xml:space="preserve">ředmět této veřejné zakázky </w:t>
      </w:r>
      <w:r>
        <w:rPr>
          <w:rFonts w:ascii="Calibri" w:eastAsia="Calibri" w:hAnsi="Calibri" w:cs="Calibri"/>
          <w:sz w:val="22"/>
          <w:szCs w:val="22"/>
        </w:rPr>
        <w:t>bude</w:t>
      </w:r>
      <w:r w:rsidRPr="001C7990">
        <w:rPr>
          <w:rFonts w:ascii="Calibri" w:eastAsia="Calibri" w:hAnsi="Calibri" w:cs="Calibri"/>
          <w:sz w:val="22"/>
          <w:szCs w:val="22"/>
        </w:rPr>
        <w:t xml:space="preserve"> spolufinancován z Evropského sociálního fondu a státního rozpočtu České republiky prostřednictvím Operačního programu Zaměstnanost </w:t>
      </w:r>
      <w:r>
        <w:rPr>
          <w:rFonts w:ascii="Calibri" w:eastAsia="Calibri" w:hAnsi="Calibri" w:cs="Calibri"/>
          <w:sz w:val="22"/>
          <w:szCs w:val="22"/>
        </w:rPr>
        <w:t xml:space="preserve">plus </w:t>
      </w:r>
      <w:r w:rsidRPr="001C7990">
        <w:rPr>
          <w:rFonts w:ascii="Calibri" w:eastAsia="Calibri" w:hAnsi="Calibri" w:cs="Calibri"/>
          <w:sz w:val="22"/>
          <w:szCs w:val="22"/>
        </w:rPr>
        <w:t xml:space="preserve">v rámci projektu </w:t>
      </w:r>
      <w:r>
        <w:rPr>
          <w:rFonts w:ascii="Calibri" w:eastAsia="Calibri" w:hAnsi="Calibri" w:cs="Calibri"/>
          <w:sz w:val="22"/>
          <w:szCs w:val="22"/>
        </w:rPr>
        <w:t>„</w:t>
      </w:r>
      <w:r w:rsidRPr="001C7990">
        <w:rPr>
          <w:rFonts w:ascii="Calibri" w:eastAsia="Calibri" w:hAnsi="Calibri" w:cs="Calibri"/>
          <w:sz w:val="22"/>
          <w:szCs w:val="22"/>
        </w:rPr>
        <w:t>Služby sociální prevence v Královéhradeckém kraji V</w:t>
      </w:r>
      <w:r>
        <w:rPr>
          <w:rFonts w:ascii="Calibri" w:eastAsia="Calibri" w:hAnsi="Calibri" w:cs="Calibri"/>
          <w:sz w:val="22"/>
          <w:szCs w:val="22"/>
        </w:rPr>
        <w:t>II“</w:t>
      </w:r>
      <w:r w:rsidRPr="001C7990">
        <w:rPr>
          <w:rFonts w:ascii="Calibri" w:eastAsia="Calibri" w:hAnsi="Calibri" w:cs="Calibri"/>
          <w:sz w:val="22"/>
          <w:szCs w:val="22"/>
        </w:rPr>
        <w:t xml:space="preserve"> (dále jen „</w:t>
      </w:r>
      <w:r w:rsidRPr="00EE1FC4">
        <w:rPr>
          <w:rFonts w:ascii="Calibri" w:eastAsia="Calibri" w:hAnsi="Calibri" w:cs="Calibri"/>
          <w:b/>
          <w:bCs/>
          <w:i/>
          <w:iCs/>
          <w:sz w:val="22"/>
          <w:szCs w:val="22"/>
        </w:rPr>
        <w:t>Projekt</w:t>
      </w:r>
      <w:r w:rsidRPr="001C7990">
        <w:rPr>
          <w:rFonts w:ascii="Calibri" w:eastAsia="Calibri" w:hAnsi="Calibri" w:cs="Calibri"/>
          <w:sz w:val="22"/>
          <w:szCs w:val="22"/>
        </w:rPr>
        <w:t>“).</w:t>
      </w:r>
    </w:p>
    <w:p w14:paraId="492026C2" w14:textId="07DC2025" w:rsidR="00645186" w:rsidRDefault="00645186"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Předmět plnění bude realizován v souladu s § </w:t>
      </w:r>
      <w:r w:rsidR="00795D65">
        <w:rPr>
          <w:rFonts w:ascii="Calibri" w:eastAsia="Calibri" w:hAnsi="Calibri" w:cs="Calibri"/>
          <w:sz w:val="22"/>
          <w:szCs w:val="22"/>
        </w:rPr>
        <w:t>57</w:t>
      </w:r>
      <w:r>
        <w:rPr>
          <w:rFonts w:ascii="Calibri" w:eastAsia="Calibri" w:hAnsi="Calibri" w:cs="Calibri"/>
          <w:sz w:val="22"/>
          <w:szCs w:val="22"/>
        </w:rPr>
        <w:t xml:space="preserve"> zákona č. 108/2006 Sb., o sociálních službách, ve znění pozdějších předpisů (dále jen „</w:t>
      </w:r>
      <w:r>
        <w:rPr>
          <w:rFonts w:ascii="Calibri" w:eastAsia="Calibri" w:hAnsi="Calibri" w:cs="Calibri"/>
          <w:b/>
          <w:bCs/>
          <w:i/>
          <w:iCs/>
          <w:sz w:val="22"/>
          <w:szCs w:val="22"/>
        </w:rPr>
        <w:t>ZSS</w:t>
      </w:r>
      <w:r>
        <w:rPr>
          <w:rFonts w:ascii="Calibri" w:eastAsia="Calibri" w:hAnsi="Calibri" w:cs="Calibri"/>
          <w:sz w:val="22"/>
          <w:szCs w:val="22"/>
        </w:rPr>
        <w:t>“) a vyhláškou č. 505/2006 Sb., kterou se provádějí některá ustanovení zákona o sociálních službách, ve znění pozdějších předpisů.</w:t>
      </w:r>
    </w:p>
    <w:p w14:paraId="717BAACE" w14:textId="77777777" w:rsidR="00645186" w:rsidRDefault="00645186"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Výsledkem zadávacího řízení bude uzavření rámcové smlouvy s jedním vybraným dodavatelem, který bude na základě aktuálních potřeb Zadavatele poskytovat výše specifikovanou službu. </w:t>
      </w:r>
    </w:p>
    <w:p w14:paraId="305481DF" w14:textId="77777777" w:rsidR="00645186" w:rsidRPr="003B10E9" w:rsidRDefault="00645186" w:rsidP="003B10E9">
      <w:pPr>
        <w:pStyle w:val="Nadpis2"/>
        <w:keepNext w:val="0"/>
        <w:widowControl w:val="0"/>
        <w:numPr>
          <w:ilvl w:val="1"/>
          <w:numId w:val="15"/>
        </w:numPr>
        <w:spacing w:after="240"/>
        <w:ind w:left="357" w:hanging="357"/>
        <w:rPr>
          <w:rFonts w:cs="Times New Roman"/>
          <w:sz w:val="22"/>
          <w:szCs w:val="22"/>
          <w:lang w:val="x-none" w:eastAsia="en-US"/>
        </w:rPr>
      </w:pPr>
      <w:bookmarkStart w:id="10" w:name="_Hlk514163831"/>
      <w:r w:rsidRPr="003B10E9">
        <w:rPr>
          <w:rFonts w:cs="Times New Roman"/>
          <w:sz w:val="22"/>
          <w:szCs w:val="22"/>
          <w:lang w:val="x-none" w:eastAsia="en-US"/>
        </w:rPr>
        <w:t>Podrobná specifikace předmětu Veřejné zakázky</w:t>
      </w:r>
    </w:p>
    <w:bookmarkEnd w:id="10"/>
    <w:p w14:paraId="3507042E" w14:textId="77777777" w:rsidR="00645186" w:rsidRDefault="00645186"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Podrobnosti k předmětu a plnění Veřejné zakázky jsou uvedeny v závazném návrhu rámcové smlouvy o zajištění sociální služby (dále jen „</w:t>
      </w:r>
      <w:r>
        <w:rPr>
          <w:rFonts w:ascii="Calibri" w:eastAsia="Calibri" w:hAnsi="Calibri" w:cs="Calibri"/>
          <w:b/>
          <w:bCs/>
          <w:i/>
          <w:iCs/>
          <w:sz w:val="22"/>
          <w:szCs w:val="22"/>
        </w:rPr>
        <w:t>Smlouva</w:t>
      </w:r>
      <w:r>
        <w:rPr>
          <w:rFonts w:ascii="Calibri" w:eastAsia="Calibri" w:hAnsi="Calibri" w:cs="Calibri"/>
          <w:sz w:val="22"/>
          <w:szCs w:val="22"/>
        </w:rPr>
        <w:t>“), který tvoří přílohu č. 1 této Zadávací dokumentace.</w:t>
      </w:r>
    </w:p>
    <w:p w14:paraId="69382D14" w14:textId="77777777" w:rsidR="00645186" w:rsidRPr="003B10E9" w:rsidRDefault="00645186" w:rsidP="003B10E9">
      <w:pPr>
        <w:pStyle w:val="Nadpis2"/>
        <w:keepNext w:val="0"/>
        <w:widowControl w:val="0"/>
        <w:numPr>
          <w:ilvl w:val="1"/>
          <w:numId w:val="15"/>
        </w:numPr>
        <w:spacing w:after="240"/>
        <w:ind w:left="357" w:hanging="357"/>
        <w:rPr>
          <w:rFonts w:cs="Times New Roman"/>
          <w:sz w:val="22"/>
          <w:szCs w:val="22"/>
          <w:lang w:val="x-none" w:eastAsia="en-US"/>
        </w:rPr>
      </w:pPr>
      <w:r w:rsidRPr="003B10E9">
        <w:rPr>
          <w:rFonts w:cs="Times New Roman"/>
          <w:sz w:val="22"/>
          <w:szCs w:val="22"/>
          <w:lang w:val="x-none" w:eastAsia="en-US"/>
        </w:rPr>
        <w:t xml:space="preserve">Funkční celek </w:t>
      </w:r>
    </w:p>
    <w:p w14:paraId="2B264656" w14:textId="77777777" w:rsidR="00645186" w:rsidRDefault="00645186" w:rsidP="00645186">
      <w:pPr>
        <w:pStyle w:val="Normln1"/>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Zadání Veřejné zakázky představuje naplnění povinnosti Zadavatele zajistit dostupnost sociálních služeb na území Královéhradeckého kraje ve smyslu § 95 písm. g) ZSS. Předmět této Veřejné zakázky představuje v rámci Projektu s ohledem na funkční souvislost jednotlivých zadávaných sociálních služeb dílčí část celkové realizované Veřejné zakázky. Zadavatel zadává jednotlivé dílčí části postupem dle § 18 odst. 1 písm. b) ZZVZ v samostatných zadávacích řízeních. </w:t>
      </w:r>
    </w:p>
    <w:p w14:paraId="7665248F" w14:textId="77777777" w:rsidR="00645186" w:rsidRPr="003B10E9" w:rsidRDefault="00645186" w:rsidP="003B10E9">
      <w:pPr>
        <w:pStyle w:val="Nadpis1"/>
        <w:keepNext w:val="0"/>
        <w:widowControl w:val="0"/>
        <w:numPr>
          <w:ilvl w:val="0"/>
          <w:numId w:val="15"/>
        </w:numPr>
        <w:spacing w:after="240"/>
        <w:ind w:left="357" w:hanging="357"/>
        <w:rPr>
          <w:rFonts w:cs="Times New Roman"/>
          <w:lang w:val="x-none" w:eastAsia="x-none"/>
        </w:rPr>
      </w:pPr>
      <w:bookmarkStart w:id="11" w:name="_Toc288567144"/>
      <w:bookmarkStart w:id="12" w:name="_Toc288567145"/>
      <w:bookmarkStart w:id="13" w:name="_Toc101358582"/>
      <w:bookmarkStart w:id="14" w:name="_Toc223418296"/>
      <w:bookmarkEnd w:id="9"/>
      <w:bookmarkEnd w:id="11"/>
      <w:bookmarkEnd w:id="12"/>
      <w:r w:rsidRPr="003B10E9">
        <w:rPr>
          <w:rFonts w:cs="Times New Roman"/>
          <w:lang w:val="x-none" w:eastAsia="x-none"/>
        </w:rPr>
        <w:t>Doba a místo plnění Veřejné zakázky</w:t>
      </w:r>
      <w:bookmarkEnd w:id="13"/>
      <w:bookmarkEnd w:id="14"/>
    </w:p>
    <w:p w14:paraId="2138818E" w14:textId="77777777" w:rsidR="00645186" w:rsidRDefault="00645186" w:rsidP="00645186">
      <w:pPr>
        <w:widowControl w:val="0"/>
        <w:spacing w:before="0" w:after="0"/>
        <w:rPr>
          <w:rFonts w:cs="Calibri"/>
          <w:b/>
          <w:bCs/>
          <w:szCs w:val="22"/>
        </w:rPr>
      </w:pPr>
      <w:r>
        <w:rPr>
          <w:rFonts w:cs="Calibri"/>
          <w:b/>
          <w:bCs/>
          <w:szCs w:val="22"/>
        </w:rPr>
        <w:t>Místo plnění:</w:t>
      </w:r>
    </w:p>
    <w:p w14:paraId="0F32193E" w14:textId="34749749" w:rsidR="00645186" w:rsidRDefault="00645186" w:rsidP="00645186">
      <w:pPr>
        <w:widowControl w:val="0"/>
        <w:spacing w:before="0" w:after="0"/>
        <w:rPr>
          <w:rFonts w:cs="Calibri"/>
          <w:bCs/>
          <w:iCs/>
          <w:szCs w:val="22"/>
          <w:highlight w:val="yellow"/>
        </w:rPr>
      </w:pPr>
      <w:r>
        <w:rPr>
          <w:rFonts w:cs="Calibri"/>
          <w:szCs w:val="22"/>
        </w:rPr>
        <w:t xml:space="preserve">Místem plnění je </w:t>
      </w:r>
      <w:r w:rsidR="00836F36">
        <w:rPr>
          <w:rFonts w:cs="Calibri"/>
          <w:szCs w:val="22"/>
        </w:rPr>
        <w:t xml:space="preserve">Královéhradecký kraj, </w:t>
      </w:r>
      <w:r w:rsidR="00FA46F5">
        <w:t>Náchod</w:t>
      </w:r>
      <w:r w:rsidR="000656C4">
        <w:t>.</w:t>
      </w:r>
    </w:p>
    <w:p w14:paraId="149929D2" w14:textId="77777777" w:rsidR="00836F36" w:rsidRDefault="00836F36" w:rsidP="00645186">
      <w:pPr>
        <w:widowControl w:val="0"/>
        <w:spacing w:before="0" w:after="0"/>
        <w:rPr>
          <w:rFonts w:cs="Calibri"/>
          <w:szCs w:val="22"/>
          <w:highlight w:val="yellow"/>
        </w:rPr>
      </w:pPr>
    </w:p>
    <w:p w14:paraId="0FFF26A2" w14:textId="77777777" w:rsidR="00645186" w:rsidRDefault="00645186" w:rsidP="00645186">
      <w:pPr>
        <w:widowControl w:val="0"/>
        <w:spacing w:before="0" w:after="0"/>
        <w:rPr>
          <w:rFonts w:cs="Calibri"/>
          <w:b/>
          <w:szCs w:val="22"/>
        </w:rPr>
      </w:pPr>
      <w:r>
        <w:rPr>
          <w:rFonts w:cs="Calibri"/>
          <w:b/>
          <w:szCs w:val="22"/>
        </w:rPr>
        <w:t xml:space="preserve">Termín plnění: </w:t>
      </w:r>
    </w:p>
    <w:p w14:paraId="4A79D6CA" w14:textId="77777777" w:rsidR="00645186" w:rsidRDefault="00645186" w:rsidP="00645186">
      <w:pPr>
        <w:widowControl w:val="0"/>
        <w:spacing w:before="0" w:after="0"/>
        <w:rPr>
          <w:rFonts w:cs="Calibri"/>
          <w:szCs w:val="22"/>
        </w:rPr>
      </w:pPr>
      <w:r>
        <w:t>Předpokládaná doba plnění je do 30. 9. 2025 s tím, že Dodavatel bude povinen zajistit dostupnost poskytování služby po dobu 36 kalendářních měsíců ode dne 1. 10. 2022 do 30. 9. 2025.</w:t>
      </w:r>
    </w:p>
    <w:p w14:paraId="3F31D73A" w14:textId="77777777" w:rsidR="00645186" w:rsidRPr="003B10E9" w:rsidRDefault="00645186" w:rsidP="003B10E9">
      <w:pPr>
        <w:pStyle w:val="Nadpis1"/>
        <w:keepNext w:val="0"/>
        <w:widowControl w:val="0"/>
        <w:numPr>
          <w:ilvl w:val="0"/>
          <w:numId w:val="15"/>
        </w:numPr>
        <w:spacing w:after="240"/>
        <w:ind w:left="357" w:hanging="357"/>
        <w:rPr>
          <w:rFonts w:cs="Times New Roman"/>
          <w:lang w:val="x-none" w:eastAsia="x-none"/>
        </w:rPr>
      </w:pPr>
      <w:bookmarkStart w:id="15" w:name="_Toc101358583"/>
      <w:r w:rsidRPr="003B10E9">
        <w:rPr>
          <w:rFonts w:cs="Times New Roman"/>
          <w:lang w:val="x-none" w:eastAsia="x-none"/>
        </w:rPr>
        <w:t>Předpokládaná hodnota Veřejné zakázky a způsob jejího stanovení</w:t>
      </w:r>
      <w:bookmarkEnd w:id="15"/>
    </w:p>
    <w:p w14:paraId="761AAFB9" w14:textId="77777777" w:rsidR="00645186" w:rsidRPr="003B10E9" w:rsidRDefault="00645186" w:rsidP="003B10E9">
      <w:pPr>
        <w:pStyle w:val="Nadpis2"/>
        <w:keepNext w:val="0"/>
        <w:widowControl w:val="0"/>
        <w:numPr>
          <w:ilvl w:val="1"/>
          <w:numId w:val="15"/>
        </w:numPr>
        <w:spacing w:after="240"/>
        <w:ind w:left="357" w:hanging="357"/>
        <w:rPr>
          <w:rFonts w:cs="Times New Roman"/>
          <w:sz w:val="22"/>
          <w:szCs w:val="22"/>
          <w:lang w:val="x-none" w:eastAsia="en-US"/>
        </w:rPr>
      </w:pPr>
      <w:r w:rsidRPr="003B10E9">
        <w:rPr>
          <w:rFonts w:cs="Times New Roman"/>
          <w:sz w:val="22"/>
          <w:szCs w:val="22"/>
          <w:lang w:val="x-none" w:eastAsia="en-US"/>
        </w:rPr>
        <w:t>Předpokládaná hodnota Veřejné zakázky</w:t>
      </w:r>
    </w:p>
    <w:p w14:paraId="78D43C5F" w14:textId="76F894B5" w:rsidR="00645186" w:rsidRDefault="00645186" w:rsidP="00645186">
      <w:pPr>
        <w:widowControl w:val="0"/>
        <w:rPr>
          <w:lang w:eastAsia="x-none"/>
        </w:rPr>
      </w:pPr>
      <w:r>
        <w:rPr>
          <w:lang w:eastAsia="x-none"/>
        </w:rPr>
        <w:t xml:space="preserve">Předpokládaná hodnota Veřejné zakázky činí: </w:t>
      </w:r>
      <w:r w:rsidR="00FA46F5">
        <w:t xml:space="preserve">23 923 192 </w:t>
      </w:r>
      <w:r w:rsidR="001E3034" w:rsidRPr="001E3034">
        <w:rPr>
          <w:rFonts w:cs="Calibri"/>
          <w:color w:val="000000"/>
        </w:rPr>
        <w:t>Kč.</w:t>
      </w:r>
    </w:p>
    <w:p w14:paraId="011D0592" w14:textId="77777777" w:rsidR="00645186" w:rsidRDefault="00645186" w:rsidP="00645186">
      <w:bookmarkStart w:id="16" w:name="_Toc223418297"/>
      <w:r>
        <w:t xml:space="preserve">Předpokládaná hodnota Veřejné zakázky byla stanovena na základě výpočtu příslušné vyrovnávací platby, resp. její části v rámci vícezdrojového financování, a to v souladu se Zásadami pro realizaci </w:t>
      </w:r>
      <w:r>
        <w:lastRenderedPageBreak/>
        <w:t>financování sociálních služeb zařazených do Sítě sociálních služeb Královéhradeckého kraje formou vyrovnávací platby.</w:t>
      </w:r>
    </w:p>
    <w:p w14:paraId="516B6BA8" w14:textId="77777777" w:rsidR="00645186" w:rsidRPr="00B839DD" w:rsidRDefault="00645186" w:rsidP="00B839DD">
      <w:pPr>
        <w:pStyle w:val="Nadpis1"/>
        <w:keepNext w:val="0"/>
        <w:widowControl w:val="0"/>
        <w:numPr>
          <w:ilvl w:val="0"/>
          <w:numId w:val="15"/>
        </w:numPr>
        <w:spacing w:after="240"/>
        <w:ind w:left="357" w:hanging="357"/>
        <w:rPr>
          <w:rFonts w:cs="Times New Roman"/>
          <w:lang w:val="x-none" w:eastAsia="x-none"/>
        </w:rPr>
      </w:pPr>
      <w:bookmarkStart w:id="17" w:name="_Toc101358584"/>
      <w:r w:rsidRPr="00B839DD">
        <w:rPr>
          <w:rFonts w:cs="Times New Roman"/>
          <w:lang w:val="x-none" w:eastAsia="x-none"/>
        </w:rPr>
        <w:t>Kvalifikace Dodavatelů</w:t>
      </w:r>
      <w:bookmarkEnd w:id="16"/>
      <w:bookmarkEnd w:id="17"/>
    </w:p>
    <w:p w14:paraId="210E0006"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18" w:name="_Toc223418298"/>
      <w:r w:rsidRPr="00B839DD">
        <w:rPr>
          <w:rFonts w:cs="Times New Roman"/>
          <w:sz w:val="22"/>
          <w:szCs w:val="22"/>
          <w:lang w:val="x-none" w:eastAsia="en-US"/>
        </w:rPr>
        <w:t>Splnění kvalifikace</w:t>
      </w:r>
      <w:bookmarkEnd w:id="18"/>
    </w:p>
    <w:p w14:paraId="3123AC04" w14:textId="77777777" w:rsidR="00645186" w:rsidRDefault="00645186" w:rsidP="00645186">
      <w:pPr>
        <w:widowControl w:val="0"/>
        <w:rPr>
          <w:rFonts w:cs="Calibri"/>
          <w:szCs w:val="22"/>
        </w:rPr>
      </w:pPr>
      <w:r>
        <w:rPr>
          <w:rFonts w:cs="Calibri"/>
          <w:szCs w:val="22"/>
        </w:rPr>
        <w:t xml:space="preserve">Dodavatel musí splňovat požadavky na kvalifikaci uvedené v § 73 a násl. ZZVZ. Splnění kvalifikačních požadavků musí Dodavatel prokázat způsobem a v rozsahu podle této Zadávací dokumentace. </w:t>
      </w:r>
    </w:p>
    <w:p w14:paraId="408AD405" w14:textId="77777777" w:rsidR="00645186" w:rsidRDefault="00645186" w:rsidP="00645186">
      <w:pPr>
        <w:widowControl w:val="0"/>
        <w:spacing w:before="0"/>
        <w:rPr>
          <w:rFonts w:cs="Calibri"/>
          <w:szCs w:val="22"/>
        </w:rPr>
      </w:pPr>
      <w:r>
        <w:rPr>
          <w:rFonts w:cs="Calibri"/>
          <w:szCs w:val="22"/>
        </w:rPr>
        <w:t>Požadavky na kvalifikaci pro plnění této Veřejné zakázky splní Dodavatel, který v nabídce doloží splnění:</w:t>
      </w:r>
    </w:p>
    <w:p w14:paraId="28F490FF" w14:textId="77777777" w:rsidR="00645186" w:rsidRDefault="00645186" w:rsidP="00645186">
      <w:pPr>
        <w:pStyle w:val="Odrazka3"/>
        <w:widowControl w:val="0"/>
        <w:numPr>
          <w:ilvl w:val="2"/>
          <w:numId w:val="17"/>
        </w:numPr>
        <w:tabs>
          <w:tab w:val="num" w:pos="567"/>
        </w:tabs>
        <w:spacing w:before="0"/>
        <w:rPr>
          <w:szCs w:val="22"/>
        </w:rPr>
      </w:pPr>
      <w:r>
        <w:rPr>
          <w:szCs w:val="22"/>
        </w:rPr>
        <w:t>základní způsobilosti podle § 74 ZZVZ;</w:t>
      </w:r>
    </w:p>
    <w:p w14:paraId="496B3D8F" w14:textId="77777777" w:rsidR="00645186" w:rsidRDefault="00645186" w:rsidP="00645186">
      <w:pPr>
        <w:pStyle w:val="Odrazka3"/>
        <w:widowControl w:val="0"/>
        <w:numPr>
          <w:ilvl w:val="2"/>
          <w:numId w:val="17"/>
        </w:numPr>
        <w:tabs>
          <w:tab w:val="num" w:pos="567"/>
        </w:tabs>
        <w:spacing w:before="0"/>
        <w:rPr>
          <w:szCs w:val="22"/>
        </w:rPr>
      </w:pPr>
      <w:r>
        <w:rPr>
          <w:szCs w:val="22"/>
        </w:rPr>
        <w:t>profesní způsobilosti podle § 77 ZZVZ.</w:t>
      </w:r>
    </w:p>
    <w:p w14:paraId="32257642"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19" w:name="_Toc223418299"/>
      <w:r w:rsidRPr="00B839DD">
        <w:rPr>
          <w:rFonts w:cs="Times New Roman"/>
          <w:sz w:val="22"/>
          <w:szCs w:val="22"/>
          <w:lang w:val="x-none" w:eastAsia="en-US"/>
        </w:rPr>
        <w:t>Pravost a stáří dokladů k prokázání kvalifikace</w:t>
      </w:r>
      <w:bookmarkEnd w:id="19"/>
    </w:p>
    <w:p w14:paraId="62369D9D" w14:textId="77777777" w:rsidR="00645186" w:rsidRPr="00B839DD" w:rsidRDefault="00645186" w:rsidP="00B839DD">
      <w:pPr>
        <w:pStyle w:val="Nadpis3"/>
        <w:keepNext w:val="0"/>
        <w:widowControl w:val="0"/>
        <w:numPr>
          <w:ilvl w:val="2"/>
          <w:numId w:val="15"/>
        </w:numPr>
        <w:spacing w:after="240"/>
        <w:ind w:left="709" w:hanging="709"/>
        <w:rPr>
          <w:rFonts w:cs="Times New Roman"/>
          <w:szCs w:val="22"/>
          <w:lang w:eastAsia="x-none"/>
        </w:rPr>
      </w:pPr>
      <w:r w:rsidRPr="00B839DD">
        <w:rPr>
          <w:rFonts w:cs="Times New Roman"/>
          <w:szCs w:val="22"/>
          <w:lang w:eastAsia="x-none"/>
        </w:rPr>
        <w:t>Pravost dokladů</w:t>
      </w:r>
    </w:p>
    <w:p w14:paraId="64496F7E" w14:textId="77777777" w:rsidR="00645186" w:rsidRDefault="00645186" w:rsidP="00645186">
      <w:pPr>
        <w:widowControl w:val="0"/>
      </w:pPr>
      <w:r>
        <w:t>V souladu s § 86 odst. 1 ZZVZ vyžaduje Zadavatel k prokázání kvalifikace přednostně doklady evidované v systému, který identifikuje doklady k prokázání splnění kvalifikace (systém e-</w:t>
      </w:r>
      <w:proofErr w:type="spellStart"/>
      <w:r>
        <w:t>Certis</w:t>
      </w:r>
      <w:proofErr w:type="spellEnd"/>
      <w:r>
        <w:t>).</w:t>
      </w:r>
    </w:p>
    <w:p w14:paraId="70471E58" w14:textId="77777777" w:rsidR="00645186" w:rsidRDefault="00645186" w:rsidP="00645186">
      <w:pPr>
        <w:widowControl w:val="0"/>
      </w:pPr>
      <w:r>
        <w:t>Doklady, které je Dodavatel povinen předložit k prokázání splnění kvalifikace, mohou být předloženy i v prosté kopii (v souladu s § 45 odst. 1 ZZVZ); Zadavatel připouští, aby Dodavatel ve smyslu § 86 odst. 2 ZZVZ nahradil předložení dokladů čestným prohlášením.</w:t>
      </w:r>
    </w:p>
    <w:p w14:paraId="7364138C" w14:textId="77777777" w:rsidR="00645186" w:rsidRDefault="00645186" w:rsidP="00645186">
      <w:pPr>
        <w:widowControl w:val="0"/>
      </w:pPr>
      <w:r>
        <w:t>Je-li Dodavatelem předkládáno čestné prohlášení, musí být podepsáno statutárním orgánem Dodavatele, v případě podpisu jinou osobou musí být současně doloženo řádné zmocnění této osoby k příslušnému právnímu jednání, kterým Dodavatel prokazuje splnění kvalifikace.</w:t>
      </w:r>
    </w:p>
    <w:p w14:paraId="614ECC2E" w14:textId="77777777" w:rsidR="00645186" w:rsidRDefault="00645186" w:rsidP="00645186">
      <w:pPr>
        <w:widowControl w:val="0"/>
        <w:spacing w:before="0" w:after="0"/>
        <w:rPr>
          <w:rFonts w:cs="Calibri"/>
          <w:b/>
          <w:szCs w:val="22"/>
        </w:rPr>
      </w:pPr>
      <w:r>
        <w:rPr>
          <w:rFonts w:cs="Calibri"/>
          <w:b/>
          <w:szCs w:val="22"/>
        </w:rPr>
        <w:t>Zadavatel bude ve smyslu § 86 odst. 3 ZZVZ od vybraného Dodavatele před uzavřením Smlouvy požadovat předložení originálů/ověřených kopií dokladů vztahujících se k jeho kvalifikaci.</w:t>
      </w:r>
    </w:p>
    <w:p w14:paraId="26FBF753" w14:textId="77777777" w:rsidR="00645186" w:rsidRPr="00B839DD" w:rsidRDefault="00645186" w:rsidP="00B839DD">
      <w:pPr>
        <w:pStyle w:val="Nadpis3"/>
        <w:keepNext w:val="0"/>
        <w:widowControl w:val="0"/>
        <w:numPr>
          <w:ilvl w:val="2"/>
          <w:numId w:val="15"/>
        </w:numPr>
        <w:spacing w:after="240"/>
        <w:ind w:left="709" w:hanging="709"/>
        <w:rPr>
          <w:rFonts w:cs="Times New Roman"/>
          <w:szCs w:val="22"/>
          <w:lang w:eastAsia="x-none"/>
        </w:rPr>
      </w:pPr>
      <w:r w:rsidRPr="00B839DD">
        <w:rPr>
          <w:rFonts w:cs="Times New Roman"/>
          <w:szCs w:val="22"/>
          <w:lang w:eastAsia="x-none"/>
        </w:rPr>
        <w:t>Stáří dokladů</w:t>
      </w:r>
    </w:p>
    <w:p w14:paraId="2B4BF33C" w14:textId="77777777" w:rsidR="00645186" w:rsidRDefault="00645186" w:rsidP="00645186">
      <w:pPr>
        <w:widowControl w:val="0"/>
        <w:spacing w:before="0" w:after="0"/>
        <w:rPr>
          <w:rFonts w:cs="Calibri"/>
          <w:szCs w:val="22"/>
        </w:rPr>
      </w:pPr>
      <w:r>
        <w:rPr>
          <w:rFonts w:cs="Calibri"/>
          <w:szCs w:val="22"/>
        </w:rPr>
        <w:t>Doklady prokazující základní způsobilost podle § 74 ZZVZ a profesní způsobilost podle § 77 odst. 1 ZZVZ musí prokazovat splnění požadovaného kritéria způsobilosti nejpozději v době 3 měsíců přede dnem zahájení zadávacího řízení.</w:t>
      </w:r>
    </w:p>
    <w:p w14:paraId="1BBF1499"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20" w:name="_Toc223418300"/>
      <w:r w:rsidRPr="00B839DD">
        <w:rPr>
          <w:rFonts w:cs="Times New Roman"/>
          <w:sz w:val="22"/>
          <w:szCs w:val="22"/>
          <w:lang w:val="x-none" w:eastAsia="en-US"/>
        </w:rPr>
        <w:t>Prokázání kvalifikace Dodavatele - zahraniční osoby</w:t>
      </w:r>
      <w:bookmarkEnd w:id="20"/>
      <w:r w:rsidRPr="00B839DD">
        <w:rPr>
          <w:rFonts w:cs="Times New Roman"/>
          <w:sz w:val="22"/>
          <w:szCs w:val="22"/>
          <w:lang w:val="x-none" w:eastAsia="en-US"/>
        </w:rPr>
        <w:t xml:space="preserve"> </w:t>
      </w:r>
    </w:p>
    <w:p w14:paraId="0C85F638" w14:textId="77777777" w:rsidR="00645186" w:rsidRDefault="00645186" w:rsidP="00645186">
      <w:pPr>
        <w:widowControl w:val="0"/>
        <w:spacing w:before="0" w:after="0"/>
        <w:rPr>
          <w:rFonts w:cs="Calibri"/>
          <w:szCs w:val="22"/>
        </w:rPr>
      </w:pPr>
      <w:r>
        <w:rPr>
          <w:rFonts w:cs="Calibri"/>
          <w:szCs w:val="22"/>
        </w:rPr>
        <w:t>V případě, že byla kvalifikace získána v zahraničí, prokazuje se doklady vydanými podle právního řádu země, ve které byla získána, a to v rozsahu požadovaném Zadavatelem.</w:t>
      </w:r>
    </w:p>
    <w:p w14:paraId="0A438482"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21" w:name="_Toc223418301"/>
      <w:r w:rsidRPr="00B839DD">
        <w:rPr>
          <w:rFonts w:cs="Times New Roman"/>
          <w:sz w:val="22"/>
          <w:szCs w:val="22"/>
          <w:lang w:val="x-none" w:eastAsia="en-US"/>
        </w:rPr>
        <w:t>Základní způsobilost</w:t>
      </w:r>
      <w:bookmarkEnd w:id="21"/>
    </w:p>
    <w:p w14:paraId="5B3F319D" w14:textId="77777777" w:rsidR="00645186" w:rsidRPr="00B839DD" w:rsidRDefault="00645186" w:rsidP="00B839DD">
      <w:pPr>
        <w:pStyle w:val="Nadpis3"/>
        <w:keepNext w:val="0"/>
        <w:widowControl w:val="0"/>
        <w:numPr>
          <w:ilvl w:val="2"/>
          <w:numId w:val="15"/>
        </w:numPr>
        <w:spacing w:after="240"/>
        <w:ind w:left="709" w:hanging="709"/>
        <w:rPr>
          <w:rFonts w:cs="Times New Roman"/>
          <w:szCs w:val="22"/>
          <w:lang w:eastAsia="x-none"/>
        </w:rPr>
      </w:pPr>
      <w:bookmarkStart w:id="22" w:name="_Toc223418302"/>
      <w:r w:rsidRPr="00B839DD">
        <w:rPr>
          <w:rFonts w:cs="Times New Roman"/>
          <w:szCs w:val="22"/>
          <w:lang w:eastAsia="x-none"/>
        </w:rPr>
        <w:t>Rozsah základní způsobilosti</w:t>
      </w:r>
      <w:bookmarkEnd w:id="22"/>
    </w:p>
    <w:p w14:paraId="225F2B54" w14:textId="77777777" w:rsidR="00645186" w:rsidRDefault="00645186" w:rsidP="00645186">
      <w:pPr>
        <w:widowControl w:val="0"/>
        <w:spacing w:before="0" w:after="0"/>
        <w:rPr>
          <w:szCs w:val="22"/>
        </w:rPr>
      </w:pPr>
      <w:r>
        <w:rPr>
          <w:szCs w:val="22"/>
        </w:rPr>
        <w:t>Způsobilým není Dodavatel (ve smyslu § 74 odst. 1 ZZVZ), který</w:t>
      </w:r>
    </w:p>
    <w:p w14:paraId="380E0072" w14:textId="77777777" w:rsidR="00645186" w:rsidRDefault="00645186" w:rsidP="00645186">
      <w:pPr>
        <w:widowControl w:val="0"/>
        <w:numPr>
          <w:ilvl w:val="0"/>
          <w:numId w:val="18"/>
        </w:numPr>
        <w:spacing w:before="0" w:after="0"/>
        <w:ind w:left="568" w:hanging="284"/>
        <w:rPr>
          <w:szCs w:val="22"/>
        </w:rPr>
      </w:pPr>
      <w:r>
        <w:rPr>
          <w:szCs w:val="22"/>
        </w:rPr>
        <w:t xml:space="preserve">byl v zemi svého sídla v posledních 5 letech před zahájením zadávacího řízení pravomocně odsouzen pro trestný čin uvedený v příloze č. 3 k ZZVZ nebo obdobný trestný čin podle </w:t>
      </w:r>
      <w:r>
        <w:rPr>
          <w:szCs w:val="22"/>
        </w:rPr>
        <w:lastRenderedPageBreak/>
        <w:t>právního řádu země sídla Dodavatele; k zahlazeným odsouzením se nepřihlíží;</w:t>
      </w:r>
    </w:p>
    <w:p w14:paraId="0C33E178" w14:textId="77777777" w:rsidR="00645186" w:rsidRDefault="00645186" w:rsidP="00645186">
      <w:pPr>
        <w:widowControl w:val="0"/>
        <w:numPr>
          <w:ilvl w:val="0"/>
          <w:numId w:val="18"/>
        </w:numPr>
        <w:spacing w:before="0" w:after="0"/>
        <w:ind w:left="568" w:hanging="284"/>
        <w:rPr>
          <w:szCs w:val="22"/>
        </w:rPr>
      </w:pPr>
      <w:r>
        <w:rPr>
          <w:szCs w:val="22"/>
        </w:rPr>
        <w:t>má v České republice nebo v zemi svého sídla v evidenci daní zachycen splatný daňový nedoplatek;</w:t>
      </w:r>
    </w:p>
    <w:p w14:paraId="3D5D7A15" w14:textId="77777777" w:rsidR="00645186" w:rsidRDefault="00645186" w:rsidP="00645186">
      <w:pPr>
        <w:widowControl w:val="0"/>
        <w:numPr>
          <w:ilvl w:val="0"/>
          <w:numId w:val="18"/>
        </w:numPr>
        <w:spacing w:before="0" w:after="0"/>
        <w:ind w:left="568" w:hanging="284"/>
        <w:rPr>
          <w:szCs w:val="22"/>
        </w:rPr>
      </w:pPr>
      <w:r>
        <w:rPr>
          <w:szCs w:val="22"/>
        </w:rPr>
        <w:t>má v České republice nebo v zemi svého sídla splatný nedoplatek na pojistném nebo na penále na veřejné zdravotní pojištění;</w:t>
      </w:r>
    </w:p>
    <w:p w14:paraId="46214807" w14:textId="77777777" w:rsidR="00645186" w:rsidRDefault="00645186" w:rsidP="00645186">
      <w:pPr>
        <w:widowControl w:val="0"/>
        <w:numPr>
          <w:ilvl w:val="0"/>
          <w:numId w:val="18"/>
        </w:numPr>
        <w:spacing w:before="0" w:after="0"/>
        <w:ind w:left="568" w:hanging="284"/>
        <w:rPr>
          <w:szCs w:val="22"/>
        </w:rPr>
      </w:pPr>
      <w:r>
        <w:rPr>
          <w:szCs w:val="22"/>
        </w:rPr>
        <w:t>má v České republice nebo v zemi svého sídla splatný nedoplatek na pojistném nebo na penále na sociální zabezpečení a příspěvku na státní politiku zaměstnanosti;</w:t>
      </w:r>
    </w:p>
    <w:p w14:paraId="05D50A91" w14:textId="77777777" w:rsidR="00645186" w:rsidRDefault="00645186" w:rsidP="00645186">
      <w:pPr>
        <w:widowControl w:val="0"/>
        <w:numPr>
          <w:ilvl w:val="0"/>
          <w:numId w:val="18"/>
        </w:numPr>
        <w:spacing w:before="0"/>
        <w:ind w:left="568" w:hanging="284"/>
        <w:rPr>
          <w:szCs w:val="22"/>
        </w:rPr>
      </w:pPr>
      <w:r>
        <w:rPr>
          <w:szCs w:val="22"/>
        </w:rPr>
        <w:t xml:space="preserve"> je v likvidaci, proti němuž bylo vydáno rozhodnutí o úpadku, vůči němuž byla nařízena nucená správa podle jiného právního předpisu nebo v obdobné situaci podle právního řádu země sídla Dodavatele.</w:t>
      </w:r>
    </w:p>
    <w:p w14:paraId="5902FDDE" w14:textId="77777777" w:rsidR="00645186" w:rsidRDefault="00645186" w:rsidP="00645186">
      <w:pPr>
        <w:widowControl w:val="0"/>
        <w:spacing w:before="0" w:after="0"/>
        <w:rPr>
          <w:szCs w:val="22"/>
        </w:rPr>
      </w:pPr>
      <w:r>
        <w:rPr>
          <w:szCs w:val="22"/>
        </w:rPr>
        <w:t>Je-li Dodavatelem právnická osoba, musí podmínku § 74 odst. 1 písm. a) ZZVZ splňovat tato právnická osoba a zároveň každý člen jejího statutárního orgánu. Je-li členem statutárního orgánu Dodavatele právnická osoba, musí podmínku podle § 74 odst. 1 písm. a) ZZVZ splňovat</w:t>
      </w:r>
    </w:p>
    <w:p w14:paraId="62D21965" w14:textId="77777777" w:rsidR="00645186" w:rsidRDefault="00645186" w:rsidP="00645186">
      <w:pPr>
        <w:widowControl w:val="0"/>
        <w:numPr>
          <w:ilvl w:val="0"/>
          <w:numId w:val="19"/>
        </w:numPr>
        <w:spacing w:before="0" w:after="0"/>
        <w:rPr>
          <w:szCs w:val="22"/>
        </w:rPr>
      </w:pPr>
      <w:r>
        <w:rPr>
          <w:szCs w:val="22"/>
        </w:rPr>
        <w:t>tato právnická osoba,</w:t>
      </w:r>
    </w:p>
    <w:p w14:paraId="3125192D" w14:textId="77777777" w:rsidR="00645186" w:rsidRDefault="00645186" w:rsidP="00645186">
      <w:pPr>
        <w:widowControl w:val="0"/>
        <w:numPr>
          <w:ilvl w:val="0"/>
          <w:numId w:val="19"/>
        </w:numPr>
        <w:spacing w:before="0" w:after="0"/>
        <w:rPr>
          <w:szCs w:val="22"/>
        </w:rPr>
      </w:pPr>
      <w:r>
        <w:rPr>
          <w:szCs w:val="22"/>
        </w:rPr>
        <w:t>každý člen statutárního orgánu této právnické osoby a</w:t>
      </w:r>
    </w:p>
    <w:p w14:paraId="774392E2" w14:textId="77777777" w:rsidR="00645186" w:rsidRDefault="00645186" w:rsidP="00645186">
      <w:pPr>
        <w:widowControl w:val="0"/>
        <w:numPr>
          <w:ilvl w:val="0"/>
          <w:numId w:val="19"/>
        </w:numPr>
        <w:spacing w:before="0"/>
        <w:rPr>
          <w:szCs w:val="22"/>
        </w:rPr>
      </w:pPr>
      <w:r>
        <w:rPr>
          <w:szCs w:val="22"/>
        </w:rPr>
        <w:t>osoba zastupující tuto právnickou osobu v statutárním orgánu Dodavatele.</w:t>
      </w:r>
    </w:p>
    <w:p w14:paraId="7666E980" w14:textId="77777777" w:rsidR="00645186" w:rsidRDefault="00645186" w:rsidP="00645186">
      <w:pPr>
        <w:widowControl w:val="0"/>
        <w:spacing w:before="0" w:after="0"/>
        <w:rPr>
          <w:szCs w:val="22"/>
        </w:rPr>
      </w:pPr>
      <w:r>
        <w:rPr>
          <w:szCs w:val="22"/>
        </w:rPr>
        <w:t>Účastní-li se zadávacího řízení pobočka závodu</w:t>
      </w:r>
    </w:p>
    <w:p w14:paraId="6518C803" w14:textId="77777777" w:rsidR="00645186" w:rsidRDefault="00645186" w:rsidP="00645186">
      <w:pPr>
        <w:widowControl w:val="0"/>
        <w:numPr>
          <w:ilvl w:val="0"/>
          <w:numId w:val="20"/>
        </w:numPr>
        <w:spacing w:before="0" w:after="0"/>
        <w:ind w:left="568" w:hanging="284"/>
        <w:rPr>
          <w:szCs w:val="22"/>
        </w:rPr>
      </w:pPr>
      <w:r>
        <w:rPr>
          <w:szCs w:val="22"/>
        </w:rPr>
        <w:t>zahraniční právnické osoby, musí podmínku podle § 74 odst. 1 písm. a) ZZVZ splňovat tato právnická osoba a vedoucí pobočky závodu,</w:t>
      </w:r>
    </w:p>
    <w:p w14:paraId="02BE0651" w14:textId="77777777" w:rsidR="00645186" w:rsidRDefault="00645186" w:rsidP="00645186">
      <w:pPr>
        <w:widowControl w:val="0"/>
        <w:numPr>
          <w:ilvl w:val="0"/>
          <w:numId w:val="20"/>
        </w:numPr>
        <w:spacing w:before="0" w:after="0"/>
        <w:ind w:left="568" w:hanging="284"/>
        <w:rPr>
          <w:szCs w:val="22"/>
        </w:rPr>
      </w:pPr>
      <w:r>
        <w:rPr>
          <w:szCs w:val="22"/>
        </w:rPr>
        <w:t xml:space="preserve"> české právnické osoby, musí podmínku podle § 74 odst. 1 písm. a) ZZVZ splňovat osoby uvedené v § 74 odst. 2 ZZVZ a vedoucí pobočky závodu.</w:t>
      </w:r>
    </w:p>
    <w:p w14:paraId="4F050221" w14:textId="77777777" w:rsidR="00645186" w:rsidRPr="00B839DD" w:rsidRDefault="00645186" w:rsidP="00B839DD">
      <w:pPr>
        <w:pStyle w:val="Nadpis3"/>
        <w:keepNext w:val="0"/>
        <w:widowControl w:val="0"/>
        <w:numPr>
          <w:ilvl w:val="2"/>
          <w:numId w:val="15"/>
        </w:numPr>
        <w:spacing w:after="240"/>
        <w:ind w:left="709" w:hanging="709"/>
        <w:rPr>
          <w:rFonts w:cs="Times New Roman"/>
          <w:szCs w:val="22"/>
          <w:lang w:eastAsia="x-none"/>
        </w:rPr>
      </w:pPr>
      <w:bookmarkStart w:id="23" w:name="_Toc223418303"/>
      <w:r w:rsidRPr="00B839DD">
        <w:rPr>
          <w:rFonts w:cs="Times New Roman"/>
          <w:szCs w:val="22"/>
          <w:lang w:eastAsia="x-none"/>
        </w:rPr>
        <w:t>Prokázání základní způsobilosti</w:t>
      </w:r>
      <w:bookmarkEnd w:id="23"/>
    </w:p>
    <w:p w14:paraId="0E2F8861" w14:textId="77777777" w:rsidR="00645186" w:rsidRDefault="00645186" w:rsidP="00645186">
      <w:pPr>
        <w:widowControl w:val="0"/>
        <w:spacing w:before="0" w:after="0"/>
        <w:rPr>
          <w:szCs w:val="22"/>
        </w:rPr>
      </w:pPr>
      <w:r>
        <w:rPr>
          <w:szCs w:val="22"/>
        </w:rPr>
        <w:t>Dodavatel prokazuje splnění podmínek základní způsobilosti ve vztahu k České republice podle předchozího odstavce 6.4.1 předložením:</w:t>
      </w:r>
    </w:p>
    <w:p w14:paraId="508FBA4B" w14:textId="77777777" w:rsidR="00645186" w:rsidRDefault="00645186" w:rsidP="00645186">
      <w:pPr>
        <w:pStyle w:val="Odrazka3"/>
        <w:widowControl w:val="0"/>
        <w:numPr>
          <w:ilvl w:val="2"/>
          <w:numId w:val="16"/>
        </w:numPr>
        <w:tabs>
          <w:tab w:val="clear" w:pos="1304"/>
          <w:tab w:val="num" w:pos="567"/>
          <w:tab w:val="num" w:pos="1220"/>
        </w:tabs>
        <w:spacing w:before="0" w:after="0"/>
        <w:ind w:left="567" w:hanging="283"/>
        <w:rPr>
          <w:szCs w:val="22"/>
        </w:rPr>
      </w:pPr>
      <w:r>
        <w:rPr>
          <w:szCs w:val="22"/>
        </w:rPr>
        <w:t>výpisu z evidence Rejstříku trestů ve vztahu k § 74 odst. 1 písm. a) ZZVZ;</w:t>
      </w:r>
    </w:p>
    <w:p w14:paraId="34EAACE8" w14:textId="77777777" w:rsidR="00645186" w:rsidRDefault="00645186" w:rsidP="00645186">
      <w:pPr>
        <w:pStyle w:val="Odrazka3"/>
        <w:widowControl w:val="0"/>
        <w:numPr>
          <w:ilvl w:val="2"/>
          <w:numId w:val="16"/>
        </w:numPr>
        <w:tabs>
          <w:tab w:val="clear" w:pos="1304"/>
          <w:tab w:val="num" w:pos="567"/>
          <w:tab w:val="num" w:pos="1220"/>
        </w:tabs>
        <w:spacing w:before="0" w:after="0"/>
        <w:ind w:left="567" w:hanging="283"/>
        <w:rPr>
          <w:szCs w:val="22"/>
        </w:rPr>
      </w:pPr>
      <w:r>
        <w:rPr>
          <w:szCs w:val="22"/>
        </w:rPr>
        <w:t>potvrzení příslušného finančního úřadu ve vztahu k § 74 odst. 1 písm. b) ZZVZ;</w:t>
      </w:r>
    </w:p>
    <w:p w14:paraId="29F81C12" w14:textId="77777777" w:rsidR="00645186" w:rsidRDefault="00645186" w:rsidP="00645186">
      <w:pPr>
        <w:pStyle w:val="Odrazka3"/>
        <w:widowControl w:val="0"/>
        <w:numPr>
          <w:ilvl w:val="2"/>
          <w:numId w:val="16"/>
        </w:numPr>
        <w:tabs>
          <w:tab w:val="clear" w:pos="1304"/>
          <w:tab w:val="num" w:pos="567"/>
          <w:tab w:val="num" w:pos="1220"/>
        </w:tabs>
        <w:spacing w:before="0" w:after="0"/>
        <w:ind w:left="567" w:hanging="283"/>
        <w:rPr>
          <w:szCs w:val="22"/>
        </w:rPr>
      </w:pPr>
      <w:r>
        <w:rPr>
          <w:szCs w:val="22"/>
        </w:rPr>
        <w:t>písemného čestného prohlášení ve vztahu ke spotřební dani ve vztahu k § 74 odst. 1 písm. b) ZZVZ;</w:t>
      </w:r>
    </w:p>
    <w:p w14:paraId="2E59A593" w14:textId="77777777" w:rsidR="00645186" w:rsidRDefault="00645186" w:rsidP="00645186">
      <w:pPr>
        <w:pStyle w:val="Odrazka3"/>
        <w:widowControl w:val="0"/>
        <w:numPr>
          <w:ilvl w:val="2"/>
          <w:numId w:val="16"/>
        </w:numPr>
        <w:tabs>
          <w:tab w:val="clear" w:pos="1304"/>
          <w:tab w:val="num" w:pos="567"/>
          <w:tab w:val="num" w:pos="1220"/>
        </w:tabs>
        <w:spacing w:before="0" w:after="0"/>
        <w:ind w:left="567" w:hanging="283"/>
        <w:rPr>
          <w:szCs w:val="22"/>
        </w:rPr>
      </w:pPr>
      <w:r>
        <w:rPr>
          <w:szCs w:val="22"/>
        </w:rPr>
        <w:t>písemného čestného prohlášení ve vztahu k § 74 odst. 1 písm. c) ZZVZ;</w:t>
      </w:r>
    </w:p>
    <w:p w14:paraId="4031B35F" w14:textId="77777777" w:rsidR="00645186" w:rsidRDefault="00645186" w:rsidP="00645186">
      <w:pPr>
        <w:pStyle w:val="Odrazka3"/>
        <w:widowControl w:val="0"/>
        <w:numPr>
          <w:ilvl w:val="2"/>
          <w:numId w:val="16"/>
        </w:numPr>
        <w:tabs>
          <w:tab w:val="clear" w:pos="1304"/>
          <w:tab w:val="num" w:pos="567"/>
          <w:tab w:val="num" w:pos="1220"/>
        </w:tabs>
        <w:spacing w:before="0" w:after="0"/>
        <w:ind w:left="567" w:hanging="283"/>
        <w:rPr>
          <w:szCs w:val="22"/>
        </w:rPr>
      </w:pPr>
      <w:r>
        <w:rPr>
          <w:szCs w:val="22"/>
        </w:rPr>
        <w:t>potvrzení příslušné okresní správy sociálního zabezpečení ve vztahu k § 74 odst. 1 písm. d) ZZVZ;</w:t>
      </w:r>
    </w:p>
    <w:p w14:paraId="4DBB1B7A" w14:textId="77777777" w:rsidR="00645186" w:rsidRDefault="00645186" w:rsidP="00645186">
      <w:pPr>
        <w:pStyle w:val="Odrazka3"/>
        <w:widowControl w:val="0"/>
        <w:numPr>
          <w:ilvl w:val="2"/>
          <w:numId w:val="16"/>
        </w:numPr>
        <w:tabs>
          <w:tab w:val="clear" w:pos="1304"/>
          <w:tab w:val="num" w:pos="567"/>
          <w:tab w:val="num" w:pos="1220"/>
        </w:tabs>
        <w:spacing w:before="0"/>
        <w:ind w:left="567" w:hanging="283"/>
        <w:rPr>
          <w:szCs w:val="22"/>
        </w:rPr>
      </w:pPr>
      <w:r>
        <w:rPr>
          <w:szCs w:val="22"/>
        </w:rPr>
        <w:t>výpisu z obchodního rejstříku, nebo předložením písemného čestného prohlášení v případě, že není v obchodním rejstříku zapsán, ve vztahu k § 74 odst. 1 písm. e) ZZVZ.</w:t>
      </w:r>
    </w:p>
    <w:p w14:paraId="1E19FA9A" w14:textId="77777777" w:rsidR="00645186" w:rsidRDefault="00645186" w:rsidP="00645186">
      <w:pPr>
        <w:widowControl w:val="0"/>
      </w:pPr>
      <w:r>
        <w:t>Dodavatel může využít Vzorové čestné prohlášení, které tvoří přílohu č. 2 této Zadávací dokumentace.</w:t>
      </w:r>
    </w:p>
    <w:p w14:paraId="65AFB345" w14:textId="77777777" w:rsidR="00645186" w:rsidRDefault="00645186" w:rsidP="00645186">
      <w:pPr>
        <w:widowControl w:val="0"/>
      </w:pPr>
      <w:r>
        <w:t>Je-li Dodavatelem osoba se sídlem v zahraničí, prokazuje splnění podmínek základní způsobilosti dle písm. a) výše pouze ve vztahu k zemi svého sídla.</w:t>
      </w:r>
    </w:p>
    <w:p w14:paraId="207D494B"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24" w:name="_Toc143412334"/>
      <w:bookmarkStart w:id="25" w:name="_Toc223418304"/>
      <w:r w:rsidRPr="00B839DD">
        <w:rPr>
          <w:rFonts w:cs="Times New Roman"/>
          <w:sz w:val="22"/>
          <w:szCs w:val="22"/>
          <w:lang w:val="x-none" w:eastAsia="en-US"/>
        </w:rPr>
        <w:t>Profesní způsobilost</w:t>
      </w:r>
      <w:bookmarkEnd w:id="24"/>
      <w:bookmarkEnd w:id="25"/>
    </w:p>
    <w:p w14:paraId="017172F4" w14:textId="77777777" w:rsidR="00645186" w:rsidRDefault="00645186" w:rsidP="00645186">
      <w:pPr>
        <w:widowControl w:val="0"/>
      </w:pPr>
      <w:bookmarkStart w:id="26" w:name="_Toc223418305"/>
      <w:r>
        <w:t xml:space="preserve">Dodavatel prokazuje splnění profesní způsobilosti ve vztahu k České republice předložením </w:t>
      </w:r>
    </w:p>
    <w:p w14:paraId="7853B0A9" w14:textId="77777777" w:rsidR="00645186" w:rsidRDefault="00645186" w:rsidP="00645186">
      <w:pPr>
        <w:widowControl w:val="0"/>
        <w:numPr>
          <w:ilvl w:val="0"/>
          <w:numId w:val="21"/>
        </w:numPr>
      </w:pPr>
      <w:r>
        <w:rPr>
          <w:b/>
          <w:bCs/>
        </w:rPr>
        <w:t>výpisu z obchodního rejstříku</w:t>
      </w:r>
      <w:r>
        <w:t xml:space="preserve"> nebo jiné obdobné evidence, pokud jiný právní předpis zápis </w:t>
      </w:r>
      <w:r>
        <w:lastRenderedPageBreak/>
        <w:t>do takové evidence vyžaduje</w:t>
      </w:r>
      <w:r>
        <w:rPr>
          <w:rStyle w:val="Znakapoznpodarou"/>
        </w:rPr>
        <w:footnoteReference w:id="1"/>
      </w:r>
      <w:r>
        <w:t>;</w:t>
      </w:r>
    </w:p>
    <w:p w14:paraId="3DAD422D" w14:textId="77777777" w:rsidR="00645186" w:rsidRDefault="00645186" w:rsidP="00645186">
      <w:pPr>
        <w:widowControl w:val="0"/>
        <w:numPr>
          <w:ilvl w:val="0"/>
          <w:numId w:val="21"/>
        </w:numPr>
      </w:pPr>
      <w:r>
        <w:rPr>
          <w:b/>
          <w:bCs/>
        </w:rPr>
        <w:t>rozhodnutí o registraci sociální služby</w:t>
      </w:r>
      <w:r>
        <w:t xml:space="preserve">, včetně všech případných rozhodnutí o změně registrace vydané/á v souladu se ZSS. </w:t>
      </w:r>
    </w:p>
    <w:p w14:paraId="3AD08440" w14:textId="5559DE1C" w:rsidR="00645186" w:rsidRDefault="00645186" w:rsidP="00645186">
      <w:pPr>
        <w:widowControl w:val="0"/>
      </w:pPr>
      <w:r>
        <w:t>Vymezení sociální služby uvedené v registraci musí odpovídat minimálně</w:t>
      </w:r>
      <w:r w:rsidR="00EF0370">
        <w:t xml:space="preserve">: </w:t>
      </w:r>
      <w:r w:rsidR="00194D3E">
        <w:t>§ 57 ZSS – A</w:t>
      </w:r>
      <w:r w:rsidR="00EF0370">
        <w:t>zylový dům, osoby bez přístřeší</w:t>
      </w:r>
      <w:r w:rsidR="00FA46F5">
        <w:t xml:space="preserve">, </w:t>
      </w:r>
      <w:r w:rsidR="00FA46F5" w:rsidRPr="00BB39AA">
        <w:t>oběti domácího násilí</w:t>
      </w:r>
      <w:r w:rsidR="00EF0370">
        <w:t>.</w:t>
      </w:r>
    </w:p>
    <w:p w14:paraId="6C6E6529" w14:textId="77777777" w:rsidR="00645186" w:rsidRDefault="00645186" w:rsidP="00645186">
      <w:pPr>
        <w:widowControl w:val="0"/>
      </w:pPr>
      <w:r>
        <w:t>Doklady k prokázání profesní způsobilosti Dodavatel nemusí předložit, pokud právní předpisy v zemi jeho sídla obdobnou profesní způsobilost nevyžadují.</w:t>
      </w:r>
      <w:bookmarkEnd w:id="26"/>
    </w:p>
    <w:p w14:paraId="622BD4E5"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r w:rsidRPr="00B839DD">
        <w:rPr>
          <w:rFonts w:cs="Times New Roman"/>
          <w:sz w:val="22"/>
          <w:szCs w:val="22"/>
          <w:lang w:val="x-none" w:eastAsia="en-US"/>
        </w:rPr>
        <w:t xml:space="preserve">Prokázání splnění kvalifikace prostřednictvím jiných osob </w:t>
      </w:r>
    </w:p>
    <w:p w14:paraId="469350E6" w14:textId="77777777" w:rsidR="00645186" w:rsidRDefault="00645186" w:rsidP="00645186">
      <w:pPr>
        <w:widowControl w:val="0"/>
        <w:spacing w:before="0" w:after="0"/>
        <w:rPr>
          <w:rFonts w:cs="Calibri"/>
          <w:szCs w:val="22"/>
        </w:rPr>
      </w:pPr>
      <w:r>
        <w:rPr>
          <w:rFonts w:cs="Calibri"/>
          <w:szCs w:val="22"/>
        </w:rPr>
        <w:t>Dodavatel může prokázat určitou část kvalifikace prostřednictvím jiných osob v souladu s § 83 ZZVZ.</w:t>
      </w:r>
    </w:p>
    <w:p w14:paraId="1C935D20"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r w:rsidRPr="00B839DD">
        <w:rPr>
          <w:rFonts w:cs="Times New Roman"/>
          <w:sz w:val="22"/>
          <w:szCs w:val="22"/>
          <w:lang w:val="x-none" w:eastAsia="en-US"/>
        </w:rPr>
        <w:t>Seznam kvalifikovaných dodavatelů</w:t>
      </w:r>
    </w:p>
    <w:p w14:paraId="5C6858BC" w14:textId="77777777" w:rsidR="00645186" w:rsidRDefault="00645186" w:rsidP="00645186">
      <w:pPr>
        <w:widowControl w:val="0"/>
        <w:spacing w:before="0" w:after="0"/>
        <w:rPr>
          <w:rFonts w:cs="Calibri"/>
          <w:szCs w:val="22"/>
        </w:rPr>
      </w:pPr>
      <w:r>
        <w:rPr>
          <w:rFonts w:cs="Calibri"/>
          <w:szCs w:val="22"/>
        </w:rPr>
        <w:t>Dodavatel je oprávněn prokázat kvalifikaci výpisem ze seznamu kvalifikovaných dodavatelů, a to způsobem a v rozsahu určeným v § 228 a násl. ZZVZ.</w:t>
      </w:r>
    </w:p>
    <w:p w14:paraId="2A210269"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r w:rsidRPr="00B839DD">
        <w:rPr>
          <w:rFonts w:cs="Times New Roman"/>
          <w:sz w:val="22"/>
          <w:szCs w:val="22"/>
          <w:lang w:val="x-none" w:eastAsia="en-US"/>
        </w:rPr>
        <w:t>Systém certifikovaných dodavatelů</w:t>
      </w:r>
    </w:p>
    <w:p w14:paraId="4F662F04" w14:textId="77777777" w:rsidR="00645186" w:rsidRDefault="00645186" w:rsidP="00645186">
      <w:pPr>
        <w:widowControl w:val="0"/>
        <w:spacing w:before="0" w:after="0"/>
        <w:rPr>
          <w:rFonts w:cs="Calibri"/>
          <w:szCs w:val="22"/>
        </w:rPr>
      </w:pPr>
      <w:r>
        <w:rPr>
          <w:rFonts w:cs="Calibri"/>
          <w:szCs w:val="22"/>
        </w:rPr>
        <w:t>Dodavatel je oprávněn prokázat kvalifikaci certifikátem vydaným v rámci schváleného systému certifikovaných dodavatelů, a to způsobem a v rozsahu určeným v § 233 a násl. ZZVZ.</w:t>
      </w:r>
    </w:p>
    <w:p w14:paraId="1E268120"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r w:rsidRPr="00B839DD">
        <w:rPr>
          <w:rFonts w:cs="Times New Roman"/>
          <w:sz w:val="22"/>
          <w:szCs w:val="22"/>
          <w:lang w:val="x-none" w:eastAsia="en-US"/>
        </w:rPr>
        <w:t>Změny kvalifikace Dodavatele</w:t>
      </w:r>
    </w:p>
    <w:p w14:paraId="463465D7" w14:textId="77777777" w:rsidR="00645186" w:rsidRDefault="00645186" w:rsidP="00645186">
      <w:pPr>
        <w:pStyle w:val="Nadpis3"/>
        <w:widowControl w:val="0"/>
        <w:numPr>
          <w:ilvl w:val="0"/>
          <w:numId w:val="0"/>
        </w:numPr>
        <w:rPr>
          <w:b w:val="0"/>
          <w:bCs/>
        </w:rPr>
      </w:pPr>
      <w:r>
        <w:rPr>
          <w:b w:val="0"/>
          <w:bCs/>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w:t>
      </w:r>
    </w:p>
    <w:p w14:paraId="6333D24E" w14:textId="77777777" w:rsidR="00645186" w:rsidRPr="00B839DD" w:rsidRDefault="00645186" w:rsidP="00B839DD">
      <w:pPr>
        <w:pStyle w:val="Nadpis1"/>
        <w:keepNext w:val="0"/>
        <w:widowControl w:val="0"/>
        <w:numPr>
          <w:ilvl w:val="0"/>
          <w:numId w:val="15"/>
        </w:numPr>
        <w:spacing w:after="240"/>
        <w:rPr>
          <w:rFonts w:cs="Times New Roman"/>
          <w:lang w:val="x-none" w:eastAsia="x-none"/>
        </w:rPr>
      </w:pPr>
      <w:bookmarkStart w:id="27" w:name="_Toc307500616"/>
      <w:bookmarkStart w:id="28" w:name="_Toc307500617"/>
      <w:bookmarkStart w:id="29" w:name="_Toc307500618"/>
      <w:bookmarkStart w:id="30" w:name="_Toc307500620"/>
      <w:bookmarkStart w:id="31" w:name="_Toc307500622"/>
      <w:bookmarkStart w:id="32" w:name="_Toc101358585"/>
      <w:bookmarkStart w:id="33" w:name="_Toc223418311"/>
      <w:bookmarkEnd w:id="27"/>
      <w:bookmarkEnd w:id="28"/>
      <w:bookmarkEnd w:id="29"/>
      <w:bookmarkEnd w:id="30"/>
      <w:bookmarkEnd w:id="31"/>
      <w:r w:rsidRPr="00B839DD">
        <w:rPr>
          <w:rFonts w:cs="Times New Roman"/>
          <w:lang w:val="x-none" w:eastAsia="x-none"/>
        </w:rPr>
        <w:t>Doporučený způsob zpracování a forma nabídky</w:t>
      </w:r>
      <w:bookmarkEnd w:id="32"/>
      <w:bookmarkEnd w:id="33"/>
    </w:p>
    <w:p w14:paraId="5617D513" w14:textId="77777777" w:rsidR="00645186" w:rsidRPr="00B839DD" w:rsidRDefault="00645186" w:rsidP="00B839DD">
      <w:pPr>
        <w:pStyle w:val="Nadpis2"/>
        <w:keepNext w:val="0"/>
        <w:widowControl w:val="0"/>
        <w:numPr>
          <w:ilvl w:val="1"/>
          <w:numId w:val="15"/>
        </w:numPr>
        <w:spacing w:after="240"/>
        <w:ind w:left="357" w:hanging="357"/>
        <w:rPr>
          <w:rFonts w:cs="Times New Roman"/>
          <w:sz w:val="22"/>
          <w:szCs w:val="22"/>
          <w:lang w:val="x-none" w:eastAsia="en-US"/>
        </w:rPr>
      </w:pPr>
      <w:bookmarkStart w:id="34" w:name="_Toc223418312"/>
      <w:r w:rsidRPr="00B839DD">
        <w:rPr>
          <w:rFonts w:cs="Times New Roman"/>
          <w:sz w:val="22"/>
          <w:szCs w:val="22"/>
          <w:lang w:val="x-none" w:eastAsia="en-US"/>
        </w:rPr>
        <w:t>Doporučené požadavky na členění, obsah a zpracování nabídky, včetně dokladů k posouzení splnění kvalifikace</w:t>
      </w:r>
      <w:bookmarkEnd w:id="34"/>
    </w:p>
    <w:p w14:paraId="6B561277" w14:textId="77777777" w:rsidR="00645186" w:rsidRPr="00B839DD" w:rsidRDefault="00645186" w:rsidP="00B839DD">
      <w:pPr>
        <w:pStyle w:val="Nadpis3"/>
        <w:keepNext w:val="0"/>
        <w:widowControl w:val="0"/>
        <w:numPr>
          <w:ilvl w:val="2"/>
          <w:numId w:val="15"/>
        </w:numPr>
        <w:spacing w:after="240"/>
        <w:ind w:left="709" w:hanging="709"/>
        <w:rPr>
          <w:rFonts w:cs="Times New Roman"/>
          <w:szCs w:val="22"/>
          <w:lang w:eastAsia="x-none"/>
        </w:rPr>
      </w:pPr>
      <w:bookmarkStart w:id="35" w:name="_Toc223418313"/>
      <w:r w:rsidRPr="00B839DD">
        <w:rPr>
          <w:rFonts w:cs="Times New Roman"/>
          <w:szCs w:val="22"/>
          <w:lang w:eastAsia="x-none"/>
        </w:rPr>
        <w:t>Požadavky na členění nabídky</w:t>
      </w:r>
      <w:bookmarkEnd w:id="35"/>
    </w:p>
    <w:p w14:paraId="600F53E4" w14:textId="77777777" w:rsidR="00645186" w:rsidRDefault="00645186" w:rsidP="00645186">
      <w:pPr>
        <w:pStyle w:val="Normlnzarovantdobloku"/>
        <w:widowControl w:val="0"/>
        <w:spacing w:line="276" w:lineRule="auto"/>
        <w:rPr>
          <w:rFonts w:cs="Calibri"/>
          <w:sz w:val="22"/>
          <w:szCs w:val="22"/>
        </w:rPr>
      </w:pPr>
      <w:r>
        <w:rPr>
          <w:rFonts w:cs="Calibri"/>
          <w:spacing w:val="-4"/>
          <w:sz w:val="22"/>
          <w:szCs w:val="22"/>
        </w:rPr>
        <w:t>Zadavatel doporučuje, aby nabídka byla členěna v souladu s níže uvedeným řazením:</w:t>
      </w:r>
    </w:p>
    <w:p w14:paraId="47124AFD" w14:textId="77777777" w:rsidR="00645186" w:rsidRDefault="00645186" w:rsidP="00645186">
      <w:pPr>
        <w:widowControl w:val="0"/>
        <w:numPr>
          <w:ilvl w:val="0"/>
          <w:numId w:val="22"/>
        </w:numPr>
        <w:tabs>
          <w:tab w:val="num" w:pos="567"/>
        </w:tabs>
        <w:spacing w:before="0" w:after="0"/>
        <w:ind w:left="567" w:hanging="283"/>
        <w:rPr>
          <w:szCs w:val="22"/>
        </w:rPr>
      </w:pPr>
      <w:r>
        <w:rPr>
          <w:szCs w:val="22"/>
        </w:rPr>
        <w:t>krycí list nabídky;</w:t>
      </w:r>
    </w:p>
    <w:p w14:paraId="23D39ABD" w14:textId="77777777" w:rsidR="00645186" w:rsidRDefault="00645186" w:rsidP="00645186">
      <w:pPr>
        <w:widowControl w:val="0"/>
        <w:numPr>
          <w:ilvl w:val="0"/>
          <w:numId w:val="22"/>
        </w:numPr>
        <w:tabs>
          <w:tab w:val="num" w:pos="567"/>
        </w:tabs>
        <w:spacing w:before="0" w:after="0"/>
        <w:ind w:left="567" w:hanging="283"/>
        <w:rPr>
          <w:szCs w:val="22"/>
        </w:rPr>
      </w:pPr>
      <w:r>
        <w:rPr>
          <w:szCs w:val="22"/>
        </w:rPr>
        <w:t>případně plná moc osoby zmocněné statutárním orgánem Dodavatele k jednání a podepisování za Dodavatele;</w:t>
      </w:r>
    </w:p>
    <w:p w14:paraId="07E3FB70" w14:textId="77777777" w:rsidR="00645186" w:rsidRDefault="00645186" w:rsidP="00645186">
      <w:pPr>
        <w:widowControl w:val="0"/>
        <w:numPr>
          <w:ilvl w:val="0"/>
          <w:numId w:val="22"/>
        </w:numPr>
        <w:tabs>
          <w:tab w:val="num" w:pos="567"/>
        </w:tabs>
        <w:spacing w:before="0" w:after="0"/>
        <w:ind w:left="567" w:hanging="283"/>
        <w:rPr>
          <w:szCs w:val="22"/>
        </w:rPr>
      </w:pPr>
      <w:r>
        <w:rPr>
          <w:szCs w:val="22"/>
        </w:rPr>
        <w:t>doklady k prokázání splnění základní způsobilosti;</w:t>
      </w:r>
    </w:p>
    <w:p w14:paraId="5031A2B2" w14:textId="77777777" w:rsidR="00645186" w:rsidRDefault="00645186" w:rsidP="00645186">
      <w:pPr>
        <w:widowControl w:val="0"/>
        <w:numPr>
          <w:ilvl w:val="0"/>
          <w:numId w:val="22"/>
        </w:numPr>
        <w:tabs>
          <w:tab w:val="num" w:pos="567"/>
        </w:tabs>
        <w:spacing w:before="0" w:after="0"/>
        <w:ind w:left="567" w:hanging="283"/>
        <w:rPr>
          <w:szCs w:val="22"/>
        </w:rPr>
      </w:pPr>
      <w:r>
        <w:rPr>
          <w:szCs w:val="22"/>
        </w:rPr>
        <w:t>doklady k prokázání splnění profesní způsobilosti;</w:t>
      </w:r>
    </w:p>
    <w:p w14:paraId="1B3B6A8C" w14:textId="77777777" w:rsidR="00645186" w:rsidRDefault="00645186" w:rsidP="00645186">
      <w:pPr>
        <w:widowControl w:val="0"/>
        <w:numPr>
          <w:ilvl w:val="0"/>
          <w:numId w:val="22"/>
        </w:numPr>
        <w:tabs>
          <w:tab w:val="num" w:pos="567"/>
        </w:tabs>
        <w:spacing w:before="0" w:after="0"/>
        <w:ind w:left="567" w:hanging="283"/>
        <w:rPr>
          <w:szCs w:val="22"/>
        </w:rPr>
      </w:pPr>
      <w:r>
        <w:rPr>
          <w:szCs w:val="22"/>
        </w:rPr>
        <w:t>seznam poddodavatelů ve smyslu čl. 15.1 písm. b) Zadávací dokumentace;</w:t>
      </w:r>
    </w:p>
    <w:p w14:paraId="51733534" w14:textId="77777777" w:rsidR="00645186" w:rsidRDefault="00645186" w:rsidP="00645186">
      <w:pPr>
        <w:widowControl w:val="0"/>
        <w:numPr>
          <w:ilvl w:val="0"/>
          <w:numId w:val="22"/>
        </w:numPr>
        <w:tabs>
          <w:tab w:val="num" w:pos="567"/>
        </w:tabs>
        <w:spacing w:before="0" w:after="0"/>
        <w:ind w:left="567" w:hanging="283"/>
        <w:rPr>
          <w:szCs w:val="22"/>
        </w:rPr>
      </w:pPr>
      <w:r>
        <w:rPr>
          <w:szCs w:val="22"/>
        </w:rPr>
        <w:t>nabídková cena zpracovaná dle pokynů uvedených v čl. 10 této Zadávací dokumentace;</w:t>
      </w:r>
    </w:p>
    <w:p w14:paraId="4BCCFC82" w14:textId="66D7BE17" w:rsidR="00645186" w:rsidRDefault="00645186" w:rsidP="00645186">
      <w:pPr>
        <w:widowControl w:val="0"/>
        <w:numPr>
          <w:ilvl w:val="0"/>
          <w:numId w:val="22"/>
        </w:numPr>
        <w:tabs>
          <w:tab w:val="num" w:pos="567"/>
        </w:tabs>
        <w:spacing w:before="0" w:after="0"/>
        <w:ind w:left="567" w:hanging="283"/>
        <w:rPr>
          <w:szCs w:val="22"/>
        </w:rPr>
      </w:pPr>
      <w:r>
        <w:rPr>
          <w:szCs w:val="22"/>
        </w:rPr>
        <w:lastRenderedPageBreak/>
        <w:t xml:space="preserve">návrh Smlouvy s řádně doplněnými </w:t>
      </w:r>
      <w:r w:rsidR="00B839DD" w:rsidRPr="00CA0FB9">
        <w:rPr>
          <w:szCs w:val="22"/>
          <w:highlight w:val="yellow"/>
        </w:rPr>
        <w:t>žlutě</w:t>
      </w:r>
      <w:r w:rsidR="00B839DD" w:rsidRPr="00CA0FB9">
        <w:rPr>
          <w:szCs w:val="22"/>
        </w:rPr>
        <w:t xml:space="preserve"> vyznačenými údaji</w:t>
      </w:r>
      <w:r w:rsidR="00B839DD">
        <w:rPr>
          <w:szCs w:val="22"/>
        </w:rPr>
        <w:t xml:space="preserve"> (</w:t>
      </w:r>
      <w:r w:rsidR="00B839DD" w:rsidRPr="00CA5130">
        <w:rPr>
          <w:szCs w:val="22"/>
          <w:highlight w:val="magenta"/>
        </w:rPr>
        <w:t>fialově</w:t>
      </w:r>
      <w:r w:rsidR="00B839DD" w:rsidRPr="00CA0FB9">
        <w:rPr>
          <w:szCs w:val="22"/>
        </w:rPr>
        <w:t xml:space="preserve"> označené údaje </w:t>
      </w:r>
      <w:r w:rsidR="00B839DD">
        <w:rPr>
          <w:szCs w:val="22"/>
        </w:rPr>
        <w:t xml:space="preserve">doplní Zadavatel); </w:t>
      </w:r>
      <w:r w:rsidR="00B839DD" w:rsidRPr="00CA5130">
        <w:rPr>
          <w:szCs w:val="22"/>
        </w:rPr>
        <w:t xml:space="preserve">tento návrh musí být plně v souladu s podmínkami uvedenými v této Zadávací dokumentaci – </w:t>
      </w:r>
      <w:r w:rsidR="00B839DD" w:rsidRPr="00CA5130">
        <w:rPr>
          <w:iCs/>
          <w:szCs w:val="22"/>
        </w:rPr>
        <w:t>přílohou č. 1</w:t>
      </w:r>
    </w:p>
    <w:p w14:paraId="11FFE14B" w14:textId="77777777" w:rsidR="00645186" w:rsidRPr="0015010D" w:rsidRDefault="00645186" w:rsidP="0015010D">
      <w:pPr>
        <w:pStyle w:val="Nadpis3"/>
        <w:keepNext w:val="0"/>
        <w:widowControl w:val="0"/>
        <w:numPr>
          <w:ilvl w:val="2"/>
          <w:numId w:val="15"/>
        </w:numPr>
        <w:spacing w:after="240"/>
        <w:ind w:left="709" w:hanging="709"/>
        <w:rPr>
          <w:rFonts w:cs="Times New Roman"/>
          <w:szCs w:val="22"/>
          <w:lang w:eastAsia="x-none"/>
        </w:rPr>
      </w:pPr>
      <w:bookmarkStart w:id="36" w:name="_Toc223418314"/>
      <w:r w:rsidRPr="0015010D">
        <w:rPr>
          <w:rFonts w:cs="Times New Roman"/>
          <w:szCs w:val="22"/>
          <w:lang w:eastAsia="x-none"/>
        </w:rPr>
        <w:t>Doporučené formální požadavky na zpracování nabídky</w:t>
      </w:r>
      <w:bookmarkEnd w:id="36"/>
    </w:p>
    <w:p w14:paraId="2072BA76" w14:textId="77777777" w:rsidR="00645186" w:rsidRDefault="00645186" w:rsidP="00645186">
      <w:pPr>
        <w:widowControl w:val="0"/>
        <w:spacing w:before="0" w:after="0"/>
        <w:rPr>
          <w:bCs/>
          <w:szCs w:val="22"/>
        </w:rPr>
      </w:pPr>
      <w:r>
        <w:rPr>
          <w:bCs/>
          <w:szCs w:val="22"/>
        </w:rPr>
        <w:t xml:space="preserve">Zadavatel uvádí, že požaduje podání nabídek písemně v českém jazyce, a to pouze v elektronické podobě prostřednictvím elektronického nástroje. </w:t>
      </w:r>
    </w:p>
    <w:p w14:paraId="6C680DE4" w14:textId="0BE027C4" w:rsidR="00645186" w:rsidRDefault="00645186" w:rsidP="00645186">
      <w:r>
        <w:t>Nabídka Dodavatele bude podána prostřednictvím elektronického nástroje E-ZAK (dále jen „</w:t>
      </w:r>
      <w:r>
        <w:rPr>
          <w:b/>
          <w:i/>
        </w:rPr>
        <w:t>elektronický nástroj</w:t>
      </w:r>
      <w:r>
        <w:t xml:space="preserve">“), který splňuje podmínky stanovené § 213 ZZVZ a požadavky stanovené vyhláškou č. 260/2016 Sb., o stanovení podrobnějších podmínek týkajících se elektronických nástrojů, elektronických úkonů při zadávání veřejných zakázek a certifikátu shody (viz atest </w:t>
      </w:r>
      <w:hyperlink r:id="rId22" w:history="1">
        <w:r>
          <w:rPr>
            <w:rStyle w:val="Hypertextovodkaz"/>
          </w:rPr>
          <w:t>https://www.ezak.cz/zaruky-a-certifikaty</w:t>
        </w:r>
      </w:hyperlink>
      <w:r>
        <w:t xml:space="preserve">) a který je dostupný na </w:t>
      </w:r>
      <w:hyperlink r:id="rId23" w:history="1">
        <w:r>
          <w:rPr>
            <w:rStyle w:val="Hypertextovodkaz"/>
          </w:rPr>
          <w:t>https://zakazky.cenakhk.cz/profile_display_2.html</w:t>
        </w:r>
      </w:hyperlink>
      <w:r>
        <w:t xml:space="preserve">. Podrobné instrukce pro podání nabídky prostřednictvím elektronického nástroje nalezne Dodavatel v „Uživatelské příručce pro dodavatele E-ZAK“, která je dostupná na </w:t>
      </w:r>
      <w:hyperlink r:id="rId24" w:history="1">
        <w:r>
          <w:rPr>
            <w:rStyle w:val="Hypertextovodkaz"/>
          </w:rPr>
          <w:t>https://zakazky.cenakhk.cz/</w:t>
        </w:r>
      </w:hyperlink>
      <w:r>
        <w:t xml:space="preserve">. Systémové požadavky na PC pro podání nabídek a elektronický podpis v aplikaci </w:t>
      </w:r>
      <w:r w:rsidR="0015010D" w:rsidRPr="00EF7A7E">
        <w:t xml:space="preserve">E-ZAK lze nalézt na </w:t>
      </w:r>
      <w:hyperlink r:id="rId25" w:history="1">
        <w:r w:rsidR="0015010D" w:rsidRPr="00393BF0">
          <w:rPr>
            <w:rStyle w:val="Hypertextovodkaz"/>
            <w:rFonts w:eastAsia="SimSun"/>
            <w:bCs/>
            <w:szCs w:val="22"/>
          </w:rPr>
          <w:t>https://smart.ezak.cz/manual.html</w:t>
        </w:r>
      </w:hyperlink>
      <w:r w:rsidR="0015010D" w:rsidRPr="00EF7A7E">
        <w:t xml:space="preserve">. Dodavatel do elektronického nástroje vloží jako přílohy všechny dokumenty, které mají být součástí </w:t>
      </w:r>
      <w:r w:rsidR="0015010D">
        <w:t>n</w:t>
      </w:r>
      <w:r w:rsidR="0015010D" w:rsidRPr="00EF7A7E">
        <w:t>abídky Dodavatele.</w:t>
      </w:r>
    </w:p>
    <w:p w14:paraId="6EE9D98A" w14:textId="77777777" w:rsidR="00645186" w:rsidRDefault="00645186" w:rsidP="00645186">
      <w:pPr>
        <w:widowControl w:val="0"/>
        <w:spacing w:before="0"/>
      </w:pPr>
      <w:r>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1C4B6AC3" w14:textId="77777777" w:rsidR="00645186" w:rsidRDefault="00645186" w:rsidP="00645186">
      <w:pPr>
        <w:widowControl w:val="0"/>
        <w:spacing w:before="0" w:after="0"/>
        <w:rPr>
          <w:rFonts w:cs="Arial"/>
          <w:szCs w:val="20"/>
        </w:rPr>
      </w:pPr>
      <w:r>
        <w:rPr>
          <w:rFonts w:cs="Arial"/>
          <w:szCs w:val="20"/>
        </w:rPr>
        <w:t xml:space="preserve">Pakliže je v této Zadávací dokumentaci uveden požadavek na podepsání konkrétních dokumentů při současném nepřipuštění nahrazení tohoto dokumentu jeho prostou kopií či </w:t>
      </w:r>
      <w:proofErr w:type="spellStart"/>
      <w:r>
        <w:rPr>
          <w:rFonts w:cs="Arial"/>
          <w:szCs w:val="20"/>
        </w:rPr>
        <w:t>scanem</w:t>
      </w:r>
      <w:proofErr w:type="spellEnd"/>
      <w:r>
        <w:rPr>
          <w:rFonts w:cs="Arial"/>
          <w:szCs w:val="20"/>
        </w:rPr>
        <w:t>, musejí být jednotlivé dokumenty tvořící obsah nabídky, u nichž je podepsání osobou oprávněnou zastupovat Dodavatele vyžadováno, opatřeny elektronickým podpisem založeným na kvalifikovaném certifikátu dle zákona č. 297/2016 Sb., o službách vytvářejících důvěru pro elektronické transakce, ve znění pozdějších předpisů,</w:t>
      </w:r>
    </w:p>
    <w:p w14:paraId="144B7669" w14:textId="77777777" w:rsidR="00645186" w:rsidRPr="0011472E" w:rsidRDefault="00645186" w:rsidP="0011472E">
      <w:pPr>
        <w:pStyle w:val="Nadpis2"/>
        <w:keepNext w:val="0"/>
        <w:widowControl w:val="0"/>
        <w:numPr>
          <w:ilvl w:val="1"/>
          <w:numId w:val="15"/>
        </w:numPr>
        <w:spacing w:after="240"/>
        <w:ind w:left="357" w:hanging="357"/>
        <w:rPr>
          <w:rFonts w:cs="Times New Roman"/>
          <w:sz w:val="22"/>
          <w:szCs w:val="22"/>
          <w:lang w:val="x-none" w:eastAsia="en-US"/>
        </w:rPr>
      </w:pPr>
      <w:r w:rsidRPr="0011472E">
        <w:rPr>
          <w:rFonts w:cs="Times New Roman"/>
          <w:sz w:val="22"/>
          <w:szCs w:val="22"/>
          <w:lang w:val="x-none" w:eastAsia="en-US"/>
        </w:rPr>
        <w:t>Požadavky na společnou nabídku</w:t>
      </w:r>
    </w:p>
    <w:p w14:paraId="2E0A5D22" w14:textId="77777777" w:rsidR="00645186" w:rsidRDefault="00645186" w:rsidP="00645186">
      <w:pPr>
        <w:widowControl w:val="0"/>
      </w:pPr>
      <w:r>
        <w:t>Společnou nabídkou se rozumí nabídka, kterou podalo více Dodavatelů společně. V takovém případě se Dodavatelé podávající společnou Nabídku považují za jednoho Dodavatele.</w:t>
      </w:r>
    </w:p>
    <w:p w14:paraId="5EA3A3A9" w14:textId="77777777" w:rsidR="00645186" w:rsidRDefault="00645186" w:rsidP="00645186">
      <w:pPr>
        <w:widowControl w:val="0"/>
      </w:pPr>
      <w:r>
        <w:t>Podání společné nabídky se považuje za společný závazek všech Dodavatelů, přičemž Dodavatelé odpovídají ve smyslu § 1874 zákona č. 89/2012 Sb., občanský zákoník, v platném a účinném znění, společně a nerozdílně.</w:t>
      </w:r>
    </w:p>
    <w:p w14:paraId="46CA8115" w14:textId="77777777" w:rsidR="00645186" w:rsidRPr="0011472E" w:rsidRDefault="00645186" w:rsidP="0011472E">
      <w:pPr>
        <w:pStyle w:val="Nadpis1"/>
        <w:keepNext w:val="0"/>
        <w:widowControl w:val="0"/>
        <w:numPr>
          <w:ilvl w:val="0"/>
          <w:numId w:val="15"/>
        </w:numPr>
        <w:spacing w:after="240"/>
        <w:rPr>
          <w:rFonts w:cs="Times New Roman"/>
          <w:lang w:val="x-none" w:eastAsia="x-none"/>
        </w:rPr>
      </w:pPr>
      <w:bookmarkStart w:id="37" w:name="_Toc101358586"/>
      <w:bookmarkStart w:id="38" w:name="_Toc223418315"/>
      <w:r w:rsidRPr="0011472E">
        <w:rPr>
          <w:rFonts w:cs="Times New Roman"/>
          <w:lang w:val="x-none" w:eastAsia="x-none"/>
        </w:rPr>
        <w:t>Vysvětlení Zadávací dokumentace</w:t>
      </w:r>
      <w:bookmarkEnd w:id="37"/>
    </w:p>
    <w:p w14:paraId="61C6D1AD" w14:textId="77777777" w:rsidR="00645186" w:rsidRDefault="00645186" w:rsidP="00645186">
      <w:pPr>
        <w:widowControl w:val="0"/>
      </w:pPr>
      <w:r>
        <w:t xml:space="preserve">Dodavatelé jsou oprávněni požadovat po Zadavateli vysvětlení Zadávací dokumentace na základě písemné žádosti (e-mailem, datovou schránkou, elektronickým nástrojem) doručené Pověřené osobě Zadavatele. </w:t>
      </w:r>
    </w:p>
    <w:p w14:paraId="2366CBE4" w14:textId="77777777" w:rsidR="00645186" w:rsidRDefault="00645186" w:rsidP="00645186">
      <w:pPr>
        <w:widowControl w:val="0"/>
      </w:pPr>
      <w:r>
        <w:t>Vysvětlení Zadávací dokumentace budou vždy uveřejněna na profilu Zadavatele.</w:t>
      </w:r>
    </w:p>
    <w:p w14:paraId="39A8AED6" w14:textId="77777777" w:rsidR="00645186" w:rsidRDefault="00645186" w:rsidP="00645186">
      <w:pPr>
        <w:widowControl w:val="0"/>
      </w:pPr>
      <w:r>
        <w:t xml:space="preserve">Žádosti o vysvětlení Zadávací dokumentace se podávají v českém jazyce kontaktní osobě Pověřené </w:t>
      </w:r>
      <w:r>
        <w:lastRenderedPageBreak/>
        <w:t>osoby uvedené v čl. 1 této Zadávací dokumentace. Písemná žádost musí být doručena v souladu s § 98 odst. 3 ZZVZ nejpozději 8 pracovních dnů před uplynutím lhůty pro podání nabídek.</w:t>
      </w:r>
    </w:p>
    <w:p w14:paraId="17482CC0" w14:textId="77777777" w:rsidR="00645186" w:rsidRDefault="00645186" w:rsidP="00645186">
      <w:pPr>
        <w:widowControl w:val="0"/>
      </w:pPr>
      <w:r>
        <w:t>V souladu s § 98 odst. 4 ZZVZ bude vysvětlení Zadávací dokumentace uveřejněno na profilu zadavatele nejpozději do 3 pracovních dnů ode dne doručení písemné žádosti. Vysvětlení bude zpracováno v českém jazyce.</w:t>
      </w:r>
    </w:p>
    <w:p w14:paraId="46E96F88" w14:textId="77777777" w:rsidR="00645186" w:rsidRDefault="00645186" w:rsidP="00645186">
      <w:pPr>
        <w:widowControl w:val="0"/>
      </w:pPr>
      <w:r>
        <w:t>Zadavatel může poskytnout Dodavatelům vysvětlení Zadávací dokumentace i bez předchozí žádosti Dodavatele. Zadavatel v takovém případě uveřejní vysvětlení Zadávací dokumentace v českém jazyce nejpozději 5 pracovních dnů před uplynutím lhůty pro podání nabídek.</w:t>
      </w:r>
    </w:p>
    <w:p w14:paraId="04688D93" w14:textId="77777777" w:rsidR="00645186" w:rsidRPr="0011472E" w:rsidRDefault="00645186" w:rsidP="0011472E">
      <w:pPr>
        <w:pStyle w:val="Nadpis1"/>
        <w:keepNext w:val="0"/>
        <w:widowControl w:val="0"/>
        <w:numPr>
          <w:ilvl w:val="0"/>
          <w:numId w:val="15"/>
        </w:numPr>
        <w:spacing w:after="240"/>
        <w:rPr>
          <w:rFonts w:cs="Times New Roman"/>
          <w:lang w:val="x-none" w:eastAsia="x-none"/>
        </w:rPr>
      </w:pPr>
      <w:bookmarkStart w:id="39" w:name="_Toc101358587"/>
      <w:r w:rsidRPr="0011472E">
        <w:rPr>
          <w:rFonts w:cs="Times New Roman"/>
          <w:lang w:val="x-none" w:eastAsia="x-none"/>
        </w:rPr>
        <w:t>Způsob, doba a místo podání nabídek</w:t>
      </w:r>
      <w:bookmarkEnd w:id="38"/>
      <w:bookmarkEnd w:id="39"/>
    </w:p>
    <w:p w14:paraId="3A0BF9B9" w14:textId="77777777" w:rsidR="00645186" w:rsidRDefault="00645186" w:rsidP="00645186">
      <w:pPr>
        <w:widowControl w:val="0"/>
      </w:pPr>
      <w:r>
        <w:t>Dodavatel podá písemnou nabídku v elektronické podobě prostřednictvím E-ZAK.</w:t>
      </w:r>
    </w:p>
    <w:p w14:paraId="78780652" w14:textId="77777777" w:rsidR="00645186" w:rsidRDefault="00645186" w:rsidP="00645186">
      <w:pPr>
        <w:widowControl w:val="0"/>
      </w:pPr>
      <w:r>
        <w:t>Elektronická adresa pro podání nabídek:</w:t>
      </w:r>
    </w:p>
    <w:p w14:paraId="2F976902" w14:textId="77777777" w:rsidR="00645186" w:rsidRDefault="00586EC3" w:rsidP="00645186">
      <w:hyperlink r:id="rId26" w:history="1">
        <w:r w:rsidR="00645186">
          <w:rPr>
            <w:rStyle w:val="Hypertextovodkaz"/>
            <w:rFonts w:cs="Arial"/>
          </w:rPr>
          <w:t>https://zakazky.cenakhk.cz/</w:t>
        </w:r>
      </w:hyperlink>
    </w:p>
    <w:p w14:paraId="5EA436E2" w14:textId="77777777" w:rsidR="00645186" w:rsidRDefault="00645186" w:rsidP="00645186">
      <w:pPr>
        <w:widowControl w:val="0"/>
      </w:pPr>
      <w:r>
        <w:t>Veškeré informace nutné pro podání nabídky v elektronické podobě jsou uvedeny v této Zadávací dokumentaci.</w:t>
      </w:r>
    </w:p>
    <w:p w14:paraId="5CDA6F0A" w14:textId="77777777" w:rsidR="00645186" w:rsidRDefault="00645186" w:rsidP="00645186">
      <w:pPr>
        <w:widowControl w:val="0"/>
      </w:pPr>
      <w:r>
        <w:t>Lhůta pro podání nabídek končí dnem uvedeným v </w:t>
      </w:r>
      <w:r w:rsidRPr="0011472E">
        <w:t>Oznámení</w:t>
      </w:r>
      <w:r>
        <w:t xml:space="preserve"> (dále jen „</w:t>
      </w:r>
      <w:r>
        <w:rPr>
          <w:b/>
          <w:bCs/>
          <w:i/>
          <w:iCs/>
        </w:rPr>
        <w:t>Lhůta</w:t>
      </w:r>
      <w:r>
        <w:t>“).</w:t>
      </w:r>
    </w:p>
    <w:p w14:paraId="42E2C4E6" w14:textId="77777777" w:rsidR="00645186" w:rsidRPr="00265C2E" w:rsidRDefault="00645186" w:rsidP="00265C2E">
      <w:pPr>
        <w:pStyle w:val="Nadpis1"/>
        <w:keepNext w:val="0"/>
        <w:widowControl w:val="0"/>
        <w:numPr>
          <w:ilvl w:val="0"/>
          <w:numId w:val="15"/>
        </w:numPr>
        <w:spacing w:after="240"/>
        <w:rPr>
          <w:rFonts w:cs="Times New Roman"/>
          <w:lang w:val="x-none" w:eastAsia="x-none"/>
        </w:rPr>
      </w:pPr>
      <w:bookmarkStart w:id="40" w:name="_Toc306879878"/>
      <w:bookmarkStart w:id="41" w:name="_Toc306879994"/>
      <w:bookmarkStart w:id="42" w:name="_Toc306879879"/>
      <w:bookmarkStart w:id="43" w:name="_Toc306879995"/>
      <w:bookmarkStart w:id="44" w:name="_Toc306879880"/>
      <w:bookmarkStart w:id="45" w:name="_Toc306879996"/>
      <w:bookmarkStart w:id="46" w:name="_Toc223418316"/>
      <w:bookmarkStart w:id="47" w:name="_Toc101358588"/>
      <w:bookmarkEnd w:id="40"/>
      <w:bookmarkEnd w:id="41"/>
      <w:bookmarkEnd w:id="42"/>
      <w:bookmarkEnd w:id="43"/>
      <w:bookmarkEnd w:id="44"/>
      <w:bookmarkEnd w:id="45"/>
      <w:r w:rsidRPr="00265C2E">
        <w:rPr>
          <w:rFonts w:cs="Times New Roman"/>
          <w:lang w:val="x-none" w:eastAsia="x-none"/>
        </w:rPr>
        <w:t xml:space="preserve">Termín, místo a postup při otevírání </w:t>
      </w:r>
      <w:bookmarkEnd w:id="46"/>
      <w:r w:rsidRPr="00265C2E">
        <w:rPr>
          <w:rFonts w:cs="Times New Roman"/>
          <w:lang w:val="x-none" w:eastAsia="x-none"/>
        </w:rPr>
        <w:t>nabídek</w:t>
      </w:r>
      <w:bookmarkEnd w:id="47"/>
    </w:p>
    <w:p w14:paraId="10A88579" w14:textId="77777777" w:rsidR="00645186" w:rsidRDefault="00645186" w:rsidP="00645186">
      <w:pPr>
        <w:widowControl w:val="0"/>
      </w:pPr>
      <w:r>
        <w:t xml:space="preserve">Otevírání Nabídek se uskuteční v souladu s informacemi uvedenými v </w:t>
      </w:r>
      <w:r w:rsidRPr="0011472E">
        <w:t>Oznámení</w:t>
      </w:r>
      <w:r>
        <w:t xml:space="preserve">. </w:t>
      </w:r>
    </w:p>
    <w:p w14:paraId="2C15253C" w14:textId="77777777" w:rsidR="00645186" w:rsidRDefault="00645186" w:rsidP="00645186">
      <w:pPr>
        <w:widowControl w:val="0"/>
      </w:pPr>
      <w:r>
        <w:t>Otevírání Nabídek je z důvodu umožnění příjmu nabídek pouze v elektronické podobě neveřejné. Otevírání nabídek proběhne v souladu s § 109 ZZVZ.</w:t>
      </w:r>
    </w:p>
    <w:p w14:paraId="42424411" w14:textId="77777777" w:rsidR="00645186" w:rsidRPr="00265C2E" w:rsidRDefault="00645186" w:rsidP="00265C2E">
      <w:pPr>
        <w:pStyle w:val="Nadpis1"/>
        <w:keepNext w:val="0"/>
        <w:widowControl w:val="0"/>
        <w:numPr>
          <w:ilvl w:val="0"/>
          <w:numId w:val="15"/>
        </w:numPr>
        <w:spacing w:after="240"/>
        <w:rPr>
          <w:rFonts w:cs="Times New Roman"/>
          <w:lang w:val="x-none" w:eastAsia="x-none"/>
        </w:rPr>
      </w:pPr>
      <w:bookmarkStart w:id="48" w:name="_Toc101358589"/>
      <w:r w:rsidRPr="00265C2E">
        <w:rPr>
          <w:rFonts w:cs="Times New Roman"/>
          <w:lang w:val="x-none" w:eastAsia="x-none"/>
        </w:rPr>
        <w:t>Požadavek na způsob zpracování nabídkové ceny</w:t>
      </w:r>
      <w:bookmarkEnd w:id="48"/>
    </w:p>
    <w:p w14:paraId="033A0EC8" w14:textId="07048768" w:rsidR="00645186" w:rsidRDefault="00645186" w:rsidP="00645186">
      <w:pPr>
        <w:widowControl w:val="0"/>
      </w:pPr>
      <w:r>
        <w:t>Nabídkovou cenu Dodavatel stanoví jako cenu za jednotku služby</w:t>
      </w:r>
      <w:r w:rsidR="008D1A6C">
        <w:t xml:space="preserve"> rozdělenou na cenu</w:t>
      </w:r>
      <w:r w:rsidR="00CE19B4">
        <w:t xml:space="preserve"> za 1 </w:t>
      </w:r>
      <w:proofErr w:type="spellStart"/>
      <w:r w:rsidR="00CE19B4">
        <w:t>úvazko</w:t>
      </w:r>
      <w:proofErr w:type="spellEnd"/>
      <w:r w:rsidR="00CE19B4">
        <w:t>-měsíc a za 1 lůžko-měsí</w:t>
      </w:r>
      <w:r w:rsidR="008D1A6C">
        <w:t>c</w:t>
      </w:r>
      <w:r>
        <w:t xml:space="preserve"> v souladu s čl. 7 Smlouvy. Dodavatel je povinen pro zpracování nabídkové ceny použít předlohu, která tvoří přílohu č. 4 této Zadávací dokumentace. Buňky, které jsou podbarveny </w:t>
      </w:r>
      <w:r>
        <w:rPr>
          <w:highlight w:val="lightGray"/>
        </w:rPr>
        <w:t>šedou barvou</w:t>
      </w:r>
      <w:r>
        <w:t>, jsou určeny pro vyplnění Dodavatelem.</w:t>
      </w:r>
    </w:p>
    <w:p w14:paraId="6555B086" w14:textId="77777777" w:rsidR="00645186" w:rsidRDefault="00645186" w:rsidP="00645186">
      <w:r>
        <w:t>Takto zpracovanou nabídkovou cenu Dodavatel uvede také do předkládaného návrhu Smlouvy a Krycího listu.</w:t>
      </w:r>
    </w:p>
    <w:p w14:paraId="2361E26B" w14:textId="77777777" w:rsidR="00645186" w:rsidRDefault="00645186" w:rsidP="00645186">
      <w:r>
        <w:t>Dodavatel je odpovědný za obsah jím podané nabídky.</w:t>
      </w:r>
    </w:p>
    <w:p w14:paraId="7D37F643" w14:textId="77777777" w:rsidR="00645186" w:rsidRDefault="00645186" w:rsidP="00645186">
      <w:r>
        <w:t>Sociální služby jsou osvobozeny od DPH v souladu se zákonem č. 235/2004 Sb., o dani z přidané hodnoty, ve znění pozdějších předpisů.</w:t>
      </w:r>
    </w:p>
    <w:p w14:paraId="66EF6EE9" w14:textId="77777777" w:rsidR="00645186" w:rsidRPr="00265C2E" w:rsidRDefault="00645186" w:rsidP="00265C2E">
      <w:pPr>
        <w:pStyle w:val="Nadpis1"/>
        <w:keepNext w:val="0"/>
        <w:widowControl w:val="0"/>
        <w:numPr>
          <w:ilvl w:val="0"/>
          <w:numId w:val="15"/>
        </w:numPr>
        <w:spacing w:after="240"/>
        <w:rPr>
          <w:rFonts w:cs="Times New Roman"/>
          <w:lang w:val="x-none" w:eastAsia="x-none"/>
        </w:rPr>
      </w:pPr>
      <w:bookmarkStart w:id="49" w:name="_Toc223418321"/>
      <w:bookmarkStart w:id="50" w:name="_Toc101358590"/>
      <w:r w:rsidRPr="00265C2E">
        <w:rPr>
          <w:rFonts w:cs="Times New Roman"/>
          <w:lang w:val="x-none" w:eastAsia="x-none"/>
        </w:rPr>
        <w:t>Hodnocení</w:t>
      </w:r>
      <w:bookmarkEnd w:id="49"/>
      <w:bookmarkEnd w:id="50"/>
    </w:p>
    <w:p w14:paraId="0A7EC32E" w14:textId="77777777" w:rsidR="00645186" w:rsidRDefault="00645186" w:rsidP="00645186">
      <w:pPr>
        <w:widowControl w:val="0"/>
      </w:pPr>
      <w:r>
        <w:t>Zadavatel provede hodnocení nabídek podle jejich ekonomické výhodnosti. V souladu s § 114 odst. 2 ZZVZ bude ekonomickou výhodnost nabídek hodnotit dle těchto kritérií hodnocení:</w:t>
      </w:r>
    </w:p>
    <w:tbl>
      <w:tblPr>
        <w:tblW w:w="9077" w:type="dxa"/>
        <w:tblInd w:w="98" w:type="dxa"/>
        <w:tblLayout w:type="fixed"/>
        <w:tblCellMar>
          <w:left w:w="103" w:type="dxa"/>
        </w:tblCellMar>
        <w:tblLook w:val="04A0" w:firstRow="1" w:lastRow="0" w:firstColumn="1" w:lastColumn="0" w:noHBand="0" w:noVBand="1"/>
      </w:tblPr>
      <w:tblGrid>
        <w:gridCol w:w="6982"/>
        <w:gridCol w:w="2095"/>
      </w:tblGrid>
      <w:tr w:rsidR="00645186" w14:paraId="0F20178C" w14:textId="77777777" w:rsidTr="00CE19B4">
        <w:trPr>
          <w:trHeight w:val="340"/>
        </w:trPr>
        <w:tc>
          <w:tcPr>
            <w:tcW w:w="6982" w:type="dxa"/>
            <w:tcBorders>
              <w:top w:val="single" w:sz="4" w:space="0" w:color="000001"/>
              <w:left w:val="single" w:sz="4" w:space="0" w:color="000001"/>
              <w:bottom w:val="single" w:sz="4" w:space="0" w:color="000001"/>
              <w:right w:val="nil"/>
            </w:tcBorders>
            <w:shd w:val="clear" w:color="auto" w:fill="D9D9D9"/>
            <w:hideMark/>
          </w:tcPr>
          <w:p w14:paraId="3C1269B8" w14:textId="77777777" w:rsidR="00645186" w:rsidRDefault="00645186">
            <w:pPr>
              <w:widowControl w:val="0"/>
            </w:pPr>
            <w:r>
              <w:rPr>
                <w:rFonts w:eastAsia="Calibri" w:cs="Calibri"/>
                <w:b/>
                <w:szCs w:val="22"/>
              </w:rPr>
              <w:t>Kritérium</w:t>
            </w:r>
          </w:p>
        </w:tc>
        <w:tc>
          <w:tcPr>
            <w:tcW w:w="2095" w:type="dxa"/>
            <w:tcBorders>
              <w:top w:val="single" w:sz="4" w:space="0" w:color="000001"/>
              <w:left w:val="single" w:sz="4" w:space="0" w:color="000001"/>
              <w:bottom w:val="single" w:sz="4" w:space="0" w:color="000001"/>
              <w:right w:val="single" w:sz="4" w:space="0" w:color="000001"/>
            </w:tcBorders>
            <w:shd w:val="clear" w:color="auto" w:fill="D9D9D9"/>
            <w:hideMark/>
          </w:tcPr>
          <w:p w14:paraId="296E7F8D" w14:textId="77777777" w:rsidR="00645186" w:rsidRDefault="00645186">
            <w:pPr>
              <w:widowControl w:val="0"/>
            </w:pPr>
            <w:r>
              <w:rPr>
                <w:rFonts w:eastAsia="Calibri" w:cs="Calibri"/>
                <w:b/>
                <w:szCs w:val="22"/>
              </w:rPr>
              <w:t>Váha %</w:t>
            </w:r>
          </w:p>
        </w:tc>
      </w:tr>
      <w:tr w:rsidR="00645186" w14:paraId="218B1046" w14:textId="77777777" w:rsidTr="00CE19B4">
        <w:trPr>
          <w:trHeight w:val="480"/>
        </w:trPr>
        <w:tc>
          <w:tcPr>
            <w:tcW w:w="6982" w:type="dxa"/>
            <w:tcBorders>
              <w:top w:val="single" w:sz="4" w:space="0" w:color="000001"/>
              <w:left w:val="single" w:sz="4" w:space="0" w:color="000001"/>
              <w:bottom w:val="single" w:sz="4" w:space="0" w:color="000001"/>
              <w:right w:val="nil"/>
            </w:tcBorders>
            <w:hideMark/>
          </w:tcPr>
          <w:p w14:paraId="5D3408BC" w14:textId="72BB02E6" w:rsidR="00645186" w:rsidRDefault="00645186">
            <w:pPr>
              <w:widowControl w:val="0"/>
              <w:rPr>
                <w:highlight w:val="yellow"/>
              </w:rPr>
            </w:pPr>
            <w:r>
              <w:rPr>
                <w:rFonts w:eastAsia="Calibri" w:cs="Calibri"/>
                <w:szCs w:val="22"/>
              </w:rPr>
              <w:t>Nabídková cena</w:t>
            </w:r>
            <w:r w:rsidR="00CE19B4">
              <w:rPr>
                <w:rFonts w:eastAsia="Calibri" w:cs="Calibri"/>
                <w:szCs w:val="22"/>
              </w:rPr>
              <w:t xml:space="preserve"> za 1 </w:t>
            </w:r>
            <w:proofErr w:type="spellStart"/>
            <w:r w:rsidR="00CE19B4">
              <w:rPr>
                <w:rFonts w:eastAsia="Calibri" w:cs="Calibri"/>
                <w:szCs w:val="22"/>
              </w:rPr>
              <w:t>úvazko</w:t>
            </w:r>
            <w:proofErr w:type="spellEnd"/>
            <w:r w:rsidR="00CE19B4">
              <w:rPr>
                <w:rFonts w:eastAsia="Calibri" w:cs="Calibri"/>
                <w:szCs w:val="22"/>
              </w:rPr>
              <w:t>-měsíc</w:t>
            </w:r>
            <w:r>
              <w:rPr>
                <w:rFonts w:eastAsia="Calibri" w:cs="Calibri"/>
                <w:szCs w:val="22"/>
              </w:rPr>
              <w:t xml:space="preserve"> v Kč</w:t>
            </w:r>
          </w:p>
        </w:tc>
        <w:tc>
          <w:tcPr>
            <w:tcW w:w="2095" w:type="dxa"/>
            <w:tcBorders>
              <w:top w:val="single" w:sz="4" w:space="0" w:color="000001"/>
              <w:left w:val="single" w:sz="4" w:space="0" w:color="000001"/>
              <w:bottom w:val="single" w:sz="4" w:space="0" w:color="000001"/>
              <w:right w:val="single" w:sz="4" w:space="0" w:color="000001"/>
            </w:tcBorders>
            <w:hideMark/>
          </w:tcPr>
          <w:p w14:paraId="303FFAF3" w14:textId="26671F02" w:rsidR="00645186" w:rsidRPr="00265C2E" w:rsidRDefault="00CE19B4">
            <w:pPr>
              <w:widowControl w:val="0"/>
              <w:rPr>
                <w:rFonts w:eastAsia="Calibri" w:cs="Calibri"/>
                <w:b/>
                <w:szCs w:val="22"/>
              </w:rPr>
            </w:pPr>
            <w:r w:rsidRPr="00265C2E">
              <w:rPr>
                <w:rFonts w:eastAsia="Calibri" w:cs="Calibri"/>
                <w:b/>
                <w:szCs w:val="22"/>
              </w:rPr>
              <w:t>4</w:t>
            </w:r>
            <w:r w:rsidR="00645186" w:rsidRPr="00265C2E">
              <w:rPr>
                <w:rFonts w:eastAsia="Calibri" w:cs="Calibri"/>
                <w:b/>
                <w:szCs w:val="22"/>
              </w:rPr>
              <w:t>0 %</w:t>
            </w:r>
          </w:p>
        </w:tc>
      </w:tr>
      <w:tr w:rsidR="00CE19B4" w14:paraId="72633C44" w14:textId="77777777" w:rsidTr="00CE19B4">
        <w:trPr>
          <w:trHeight w:val="480"/>
        </w:trPr>
        <w:tc>
          <w:tcPr>
            <w:tcW w:w="6982" w:type="dxa"/>
            <w:tcBorders>
              <w:top w:val="single" w:sz="4" w:space="0" w:color="000001"/>
              <w:left w:val="single" w:sz="4" w:space="0" w:color="000001"/>
              <w:bottom w:val="single" w:sz="4" w:space="0" w:color="000001"/>
              <w:right w:val="nil"/>
            </w:tcBorders>
          </w:tcPr>
          <w:p w14:paraId="7C014819" w14:textId="5C3E635A" w:rsidR="00CE19B4" w:rsidRDefault="00CE19B4" w:rsidP="00CE19B4">
            <w:pPr>
              <w:widowControl w:val="0"/>
              <w:rPr>
                <w:rFonts w:eastAsia="Calibri" w:cs="Calibri"/>
                <w:szCs w:val="22"/>
              </w:rPr>
            </w:pPr>
            <w:r>
              <w:rPr>
                <w:rFonts w:eastAsia="Calibri" w:cs="Calibri"/>
                <w:szCs w:val="22"/>
              </w:rPr>
              <w:t>Nabídková cena za 1 lůžko-měsíc v Kč</w:t>
            </w:r>
          </w:p>
        </w:tc>
        <w:tc>
          <w:tcPr>
            <w:tcW w:w="2095" w:type="dxa"/>
            <w:tcBorders>
              <w:top w:val="single" w:sz="4" w:space="0" w:color="000001"/>
              <w:left w:val="single" w:sz="4" w:space="0" w:color="000001"/>
              <w:bottom w:val="single" w:sz="4" w:space="0" w:color="000001"/>
              <w:right w:val="single" w:sz="4" w:space="0" w:color="000001"/>
            </w:tcBorders>
          </w:tcPr>
          <w:p w14:paraId="5837DE97" w14:textId="3A4C1B9C" w:rsidR="00CE19B4" w:rsidRPr="00265C2E" w:rsidRDefault="00CE19B4" w:rsidP="00CE19B4">
            <w:pPr>
              <w:widowControl w:val="0"/>
              <w:rPr>
                <w:rFonts w:eastAsia="Calibri" w:cs="Calibri"/>
                <w:b/>
                <w:szCs w:val="22"/>
              </w:rPr>
            </w:pPr>
            <w:r w:rsidRPr="00265C2E">
              <w:rPr>
                <w:rFonts w:eastAsia="Calibri" w:cs="Calibri"/>
                <w:b/>
                <w:szCs w:val="22"/>
              </w:rPr>
              <w:t>40 %</w:t>
            </w:r>
          </w:p>
        </w:tc>
      </w:tr>
      <w:tr w:rsidR="00CE19B4" w14:paraId="48A5AA72" w14:textId="77777777" w:rsidTr="00CE19B4">
        <w:trPr>
          <w:trHeight w:val="480"/>
        </w:trPr>
        <w:tc>
          <w:tcPr>
            <w:tcW w:w="6982" w:type="dxa"/>
            <w:tcBorders>
              <w:top w:val="single" w:sz="4" w:space="0" w:color="000001"/>
              <w:left w:val="single" w:sz="4" w:space="0" w:color="000001"/>
              <w:bottom w:val="single" w:sz="4" w:space="0" w:color="000001"/>
              <w:right w:val="nil"/>
            </w:tcBorders>
            <w:hideMark/>
          </w:tcPr>
          <w:p w14:paraId="6EFC18A8" w14:textId="77777777" w:rsidR="00CE19B4" w:rsidRDefault="00CE19B4" w:rsidP="00CE19B4">
            <w:pPr>
              <w:widowControl w:val="0"/>
              <w:rPr>
                <w:rFonts w:eastAsia="Calibri" w:cs="Calibri"/>
                <w:szCs w:val="22"/>
                <w:highlight w:val="yellow"/>
              </w:rPr>
            </w:pPr>
            <w:r w:rsidRPr="00265C2E">
              <w:rPr>
                <w:rFonts w:eastAsia="Calibri" w:cs="Calibri"/>
                <w:szCs w:val="22"/>
              </w:rPr>
              <w:lastRenderedPageBreak/>
              <w:t>Počet podpořených osob za poslední 3 roky</w:t>
            </w:r>
          </w:p>
        </w:tc>
        <w:tc>
          <w:tcPr>
            <w:tcW w:w="2095" w:type="dxa"/>
            <w:tcBorders>
              <w:top w:val="single" w:sz="4" w:space="0" w:color="000001"/>
              <w:left w:val="single" w:sz="4" w:space="0" w:color="000001"/>
              <w:bottom w:val="single" w:sz="4" w:space="0" w:color="000001"/>
              <w:right w:val="single" w:sz="4" w:space="0" w:color="000001"/>
            </w:tcBorders>
            <w:hideMark/>
          </w:tcPr>
          <w:p w14:paraId="584ACCF5" w14:textId="77777777" w:rsidR="00CE19B4" w:rsidRPr="00265C2E" w:rsidRDefault="00CE19B4" w:rsidP="00CE19B4">
            <w:pPr>
              <w:widowControl w:val="0"/>
              <w:rPr>
                <w:rFonts w:eastAsia="Calibri" w:cs="Calibri"/>
                <w:b/>
                <w:szCs w:val="22"/>
              </w:rPr>
            </w:pPr>
            <w:r w:rsidRPr="00265C2E">
              <w:rPr>
                <w:rFonts w:eastAsia="Calibri" w:cs="Calibri"/>
                <w:b/>
                <w:szCs w:val="22"/>
              </w:rPr>
              <w:t>20 %</w:t>
            </w:r>
          </w:p>
        </w:tc>
      </w:tr>
    </w:tbl>
    <w:p w14:paraId="1688B048" w14:textId="77777777" w:rsidR="00645186" w:rsidRPr="00245F64" w:rsidRDefault="00645186" w:rsidP="00245F64">
      <w:pPr>
        <w:pStyle w:val="Nadpis2"/>
        <w:keepNext w:val="0"/>
        <w:widowControl w:val="0"/>
        <w:numPr>
          <w:ilvl w:val="1"/>
          <w:numId w:val="15"/>
        </w:numPr>
        <w:spacing w:after="240"/>
        <w:ind w:left="357" w:hanging="357"/>
        <w:rPr>
          <w:rFonts w:eastAsia="Calibri" w:cs="Times New Roman"/>
          <w:sz w:val="22"/>
          <w:szCs w:val="22"/>
          <w:lang w:val="x-none" w:eastAsia="en-US"/>
        </w:rPr>
      </w:pPr>
      <w:bookmarkStart w:id="51" w:name="_2p2csry"/>
      <w:bookmarkEnd w:id="51"/>
      <w:r w:rsidRPr="00245F64">
        <w:rPr>
          <w:rFonts w:eastAsia="Calibri" w:cs="Times New Roman"/>
          <w:sz w:val="22"/>
          <w:szCs w:val="22"/>
          <w:lang w:val="x-none" w:eastAsia="en-US"/>
        </w:rPr>
        <w:t>Nabídková cena</w:t>
      </w:r>
    </w:p>
    <w:p w14:paraId="14DF7DF8" w14:textId="77777777" w:rsidR="00645186" w:rsidRDefault="00645186" w:rsidP="00645186">
      <w:pPr>
        <w:widowControl w:val="0"/>
        <w:rPr>
          <w:rFonts w:eastAsia="Calibri" w:cs="Calibri"/>
          <w:szCs w:val="22"/>
        </w:rPr>
      </w:pPr>
      <w:r>
        <w:rPr>
          <w:rFonts w:eastAsia="Calibri" w:cs="Calibri"/>
          <w:szCs w:val="22"/>
        </w:rPr>
        <w:t xml:space="preserve">Nabídkovou cenou se pro účely hodnocení rozumí nabídková cena stanovená způsobem uvedeným v čl. 10 Zadávací dokumentace. </w:t>
      </w:r>
    </w:p>
    <w:p w14:paraId="5CF05554" w14:textId="77777777" w:rsidR="00645186" w:rsidRPr="00245F64" w:rsidRDefault="00645186" w:rsidP="00245F64">
      <w:pPr>
        <w:pStyle w:val="Nadpis2"/>
        <w:keepNext w:val="0"/>
        <w:widowControl w:val="0"/>
        <w:numPr>
          <w:ilvl w:val="1"/>
          <w:numId w:val="15"/>
        </w:numPr>
        <w:spacing w:after="240"/>
        <w:ind w:left="357" w:hanging="357"/>
        <w:rPr>
          <w:rFonts w:eastAsia="Calibri" w:cs="Times New Roman"/>
          <w:sz w:val="22"/>
          <w:szCs w:val="22"/>
          <w:lang w:val="x-none" w:eastAsia="en-US"/>
        </w:rPr>
      </w:pPr>
      <w:r w:rsidRPr="00245F64">
        <w:rPr>
          <w:rFonts w:eastAsia="Calibri" w:cs="Times New Roman"/>
          <w:sz w:val="22"/>
          <w:szCs w:val="22"/>
          <w:lang w:val="x-none" w:eastAsia="en-US"/>
        </w:rPr>
        <w:t>Počet podpořených osob</w:t>
      </w:r>
    </w:p>
    <w:p w14:paraId="0B06673D" w14:textId="689F2108" w:rsidR="00645186" w:rsidRDefault="00645186" w:rsidP="00645186">
      <w:r>
        <w:t xml:space="preserve">V rámci tohoto kritéria hodnocení bude hodnocen počet podpořených osob vykázaných Dodavatelem za poslední 3 roky před zahájením zadávacího řízení. Za „podpořenou osobu“ bude pro účely hodnocení považována osoba, které byla ve smyslu § </w:t>
      </w:r>
      <w:r w:rsidR="00973E6B">
        <w:t>57</w:t>
      </w:r>
      <w:r>
        <w:t xml:space="preserve"> ZSS poskytnuta sociální služba formou jakékoliv základní činnosti předvídané § </w:t>
      </w:r>
      <w:r w:rsidR="00973E6B">
        <w:t>57 odst. 2</w:t>
      </w:r>
      <w:r>
        <w:t xml:space="preserve"> ZSS a v rozsahu jakéhokoliv úkonu stanoveného v § </w:t>
      </w:r>
      <w:r w:rsidR="00973E6B">
        <w:t>22</w:t>
      </w:r>
      <w:r>
        <w:t xml:space="preserve"> vyhlášky č. 505/2006 Sb., kterou se provádějí některá ustanovení zákona o sociálních službách, ve znění pozdějších předpisů. V případě, že podpořené osobě byla v rozhodném období poskytnuta sociální služba opakovaně či v rozsahu více úkonů, bude pro účely hodnocení započtena pouze jednou.</w:t>
      </w:r>
    </w:p>
    <w:p w14:paraId="0FB33BF8" w14:textId="00F02943" w:rsidR="00645186" w:rsidRPr="00973E6B" w:rsidRDefault="00645186" w:rsidP="00645186">
      <w:r>
        <w:t xml:space="preserve">Zadavatel bude vycházet z </w:t>
      </w:r>
      <w:r>
        <w:rPr>
          <w:b/>
          <w:bCs/>
        </w:rPr>
        <w:t>údaje uvedeného v krycím listu nabídky</w:t>
      </w:r>
      <w:r>
        <w:t>, jenž tvoří přílohu č. 3</w:t>
      </w:r>
      <w:r>
        <w:rPr>
          <w:i/>
          <w:iCs/>
        </w:rPr>
        <w:t xml:space="preserve"> </w:t>
      </w:r>
      <w:r>
        <w:t xml:space="preserve">této Zadávací dokumentace. V rámci hodnocení bude zohledněn </w:t>
      </w:r>
      <w:r w:rsidRPr="00973E6B">
        <w:t xml:space="preserve">maximálně počet </w:t>
      </w:r>
      <w:r w:rsidR="00485760">
        <w:t>50</w:t>
      </w:r>
      <w:r w:rsidRPr="00973E6B">
        <w:t xml:space="preserve"> podpořených osob (tj. počet podpořených osob nad rámec </w:t>
      </w:r>
      <w:r w:rsidR="00485760">
        <w:t>50</w:t>
      </w:r>
      <w:r w:rsidRPr="00973E6B">
        <w:t xml:space="preserve"> nebude v rámci hodnocení zohledněn a pro účely hodnocení bude počítáno právě s hodnotou </w:t>
      </w:r>
      <w:r w:rsidR="00485760">
        <w:t>50</w:t>
      </w:r>
      <w:r w:rsidRPr="00973E6B">
        <w:t xml:space="preserve">). Za každou podpořenou osobu bude Dodavateli přidělen 1 bod v rámci tohoto kritéria hodnocení. </w:t>
      </w:r>
    </w:p>
    <w:p w14:paraId="6A106465" w14:textId="2DC61E72" w:rsidR="00645186" w:rsidRDefault="00645186" w:rsidP="00645186">
      <w:r w:rsidRPr="00973E6B">
        <w:t xml:space="preserve">Dodavatel může získat maximálně </w:t>
      </w:r>
      <w:r w:rsidR="00485760">
        <w:t>50</w:t>
      </w:r>
      <w:r w:rsidRPr="00973E6B">
        <w:t xml:space="preserve"> bodů v rámci tohoto kritéria</w:t>
      </w:r>
      <w:r>
        <w:t xml:space="preserve"> hodnocení. </w:t>
      </w:r>
    </w:p>
    <w:p w14:paraId="11E86597" w14:textId="77777777" w:rsidR="00645186" w:rsidRDefault="00645186" w:rsidP="00645186">
      <w:pPr>
        <w:rPr>
          <w:rFonts w:eastAsia="Calibri"/>
          <w:lang w:eastAsia="en-US"/>
        </w:rPr>
      </w:pPr>
      <w:r>
        <w:t>Zadavatel má právo tento údaj (Počet podpořených osob) ověřit na základě dokladů vyžádaných od Dodavatele. Dodavatel musí být schopen tuto skutečnost hodnověrným způsobem prokázat.</w:t>
      </w:r>
    </w:p>
    <w:p w14:paraId="1B8DFEBD" w14:textId="77777777" w:rsidR="00645186" w:rsidRPr="00FB27E1" w:rsidRDefault="00645186" w:rsidP="00FB27E1">
      <w:pPr>
        <w:pStyle w:val="Nadpis2"/>
        <w:keepNext w:val="0"/>
        <w:widowControl w:val="0"/>
        <w:numPr>
          <w:ilvl w:val="1"/>
          <w:numId w:val="15"/>
        </w:numPr>
        <w:spacing w:after="240"/>
        <w:ind w:left="357" w:hanging="357"/>
        <w:rPr>
          <w:rFonts w:eastAsia="Calibri" w:cs="Times New Roman"/>
          <w:sz w:val="22"/>
          <w:szCs w:val="22"/>
          <w:lang w:val="x-none" w:eastAsia="en-US"/>
        </w:rPr>
      </w:pPr>
      <w:r w:rsidRPr="00FB27E1">
        <w:rPr>
          <w:rFonts w:eastAsia="Calibri" w:cs="Times New Roman"/>
          <w:sz w:val="22"/>
          <w:szCs w:val="22"/>
          <w:lang w:val="x-none" w:eastAsia="en-US"/>
        </w:rPr>
        <w:t xml:space="preserve">Metoda hodnocení nabídek </w:t>
      </w:r>
    </w:p>
    <w:p w14:paraId="31726AEF" w14:textId="77777777" w:rsidR="00645186" w:rsidRDefault="00645186" w:rsidP="00645186">
      <w:pPr>
        <w:widowControl w:val="0"/>
        <w:rPr>
          <w:rFonts w:cs="Calibri"/>
          <w:szCs w:val="22"/>
        </w:rPr>
      </w:pPr>
      <w:r>
        <w:rPr>
          <w:rFonts w:cs="Calibri"/>
          <w:szCs w:val="22"/>
        </w:rPr>
        <w:t>Hodnocení nabídek bude provedeno podle dílčích hodnotících kritérií a jejich vah. Hodnotící komise bude nabídky hodnotit dle výše uvedených dílčích kritérií podle jejich váhy, a to bodovací metodou s použitím bodovací stupnice v rozsahu 0 až 100 bodů. Každé jednotlivé nabídce bude dle dílčího kritéria přidělena bodová hodnota, která odráží úspěšnost předmětné nabídky v rámci dílčího kritéria.</w:t>
      </w:r>
    </w:p>
    <w:p w14:paraId="0D7D173D" w14:textId="3C391633" w:rsidR="00645186" w:rsidRDefault="00645186" w:rsidP="00FB27E1">
      <w:pPr>
        <w:pStyle w:val="Nadpis3"/>
        <w:keepNext w:val="0"/>
        <w:keepLines/>
        <w:numPr>
          <w:ilvl w:val="2"/>
          <w:numId w:val="15"/>
        </w:numPr>
        <w:spacing w:after="240"/>
        <w:ind w:left="709" w:hanging="709"/>
        <w:rPr>
          <w:rFonts w:cs="Times New Roman"/>
          <w:szCs w:val="22"/>
          <w:lang w:eastAsia="x-none"/>
        </w:rPr>
      </w:pPr>
      <w:r w:rsidRPr="00FB27E1">
        <w:rPr>
          <w:rFonts w:cs="Times New Roman"/>
          <w:szCs w:val="22"/>
          <w:lang w:eastAsia="x-none"/>
        </w:rPr>
        <w:t>Nabídková cena</w:t>
      </w:r>
      <w:r w:rsidR="008D1A6C" w:rsidRPr="00FB27E1">
        <w:rPr>
          <w:rFonts w:cs="Times New Roman"/>
          <w:szCs w:val="22"/>
          <w:lang w:eastAsia="x-none"/>
        </w:rPr>
        <w:t xml:space="preserve"> za 1 </w:t>
      </w:r>
      <w:proofErr w:type="spellStart"/>
      <w:r w:rsidR="008D1A6C" w:rsidRPr="00FB27E1">
        <w:rPr>
          <w:rFonts w:cs="Times New Roman"/>
          <w:szCs w:val="22"/>
          <w:lang w:eastAsia="x-none"/>
        </w:rPr>
        <w:t>úvazko</w:t>
      </w:r>
      <w:proofErr w:type="spellEnd"/>
      <w:r w:rsidR="008D1A6C" w:rsidRPr="00FB27E1">
        <w:rPr>
          <w:rFonts w:cs="Times New Roman"/>
          <w:szCs w:val="22"/>
          <w:lang w:eastAsia="x-none"/>
        </w:rPr>
        <w:t>-měsíc v Kč</w:t>
      </w:r>
    </w:p>
    <w:p w14:paraId="12F12C6C" w14:textId="77777777" w:rsidR="00645186" w:rsidRDefault="00645186" w:rsidP="00645186">
      <w:pPr>
        <w:keepLines/>
        <w:spacing w:before="0" w:after="0"/>
        <w:rPr>
          <w:rFonts w:cs="Arial"/>
          <w:szCs w:val="22"/>
        </w:rPr>
      </w:pPr>
      <w:r>
        <w:rPr>
          <w:rFonts w:cs="Calibri"/>
          <w:szCs w:val="22"/>
        </w:rPr>
        <w:t>Pro toto dílčí kritérium, pro které má nejvhodnější nabídka minimální hodnotu kritéria, získá hodnocená nabídka bodovou hodnotu, která vznikne násobkem 100 a poměru hodnoty nejvhodnější nabídky k hodnocené nabídce, a váhy daného kritéria (dle uvedeného vzorce):</w:t>
      </w:r>
    </w:p>
    <w:tbl>
      <w:tblPr>
        <w:tblpPr w:leftFromText="141" w:rightFromText="141" w:vertAnchor="text" w:horzAnchor="margin" w:tblpY="138"/>
        <w:tblW w:w="8505" w:type="dxa"/>
        <w:tblLayout w:type="fixed"/>
        <w:tblLook w:val="04A0" w:firstRow="1" w:lastRow="0" w:firstColumn="1" w:lastColumn="0" w:noHBand="0" w:noVBand="1"/>
      </w:tblPr>
      <w:tblGrid>
        <w:gridCol w:w="1276"/>
        <w:gridCol w:w="326"/>
        <w:gridCol w:w="5628"/>
        <w:gridCol w:w="567"/>
        <w:gridCol w:w="708"/>
      </w:tblGrid>
      <w:tr w:rsidR="00645186" w:rsidRPr="00FB27E1" w14:paraId="3898CB40" w14:textId="77777777" w:rsidTr="00645186">
        <w:tc>
          <w:tcPr>
            <w:tcW w:w="1276" w:type="dxa"/>
            <w:vMerge w:val="restart"/>
          </w:tcPr>
          <w:p w14:paraId="4941D39F" w14:textId="77777777" w:rsidR="00645186" w:rsidRDefault="00645186">
            <w:pPr>
              <w:pStyle w:val="Normlnzarovnatdobloku"/>
              <w:shd w:val="clear" w:color="auto" w:fill="auto"/>
              <w:spacing w:line="276" w:lineRule="auto"/>
              <w:ind w:left="0"/>
              <w:rPr>
                <w:i/>
                <w:color w:val="auto"/>
                <w:spacing w:val="0"/>
                <w:sz w:val="22"/>
                <w:szCs w:val="22"/>
              </w:rPr>
            </w:pPr>
          </w:p>
          <w:p w14:paraId="7D6050ED" w14:textId="77777777" w:rsidR="00645186" w:rsidRDefault="00645186">
            <w:pPr>
              <w:pStyle w:val="Normlnzarovnatdobloku"/>
              <w:shd w:val="clear" w:color="auto" w:fill="auto"/>
              <w:spacing w:line="276" w:lineRule="auto"/>
              <w:ind w:left="0"/>
              <w:rPr>
                <w:i/>
                <w:color w:val="auto"/>
                <w:spacing w:val="0"/>
                <w:sz w:val="22"/>
                <w:szCs w:val="22"/>
              </w:rPr>
            </w:pPr>
          </w:p>
          <w:p w14:paraId="730D8FF4" w14:textId="77777777" w:rsidR="00645186" w:rsidRPr="00FB27E1" w:rsidRDefault="00645186">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Počet bodů</w:t>
            </w:r>
          </w:p>
        </w:tc>
        <w:tc>
          <w:tcPr>
            <w:tcW w:w="326" w:type="dxa"/>
            <w:vMerge w:val="restart"/>
          </w:tcPr>
          <w:p w14:paraId="6A586738"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5C7CB89E"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37C3671B" w14:textId="77777777" w:rsidR="00645186" w:rsidRPr="00FB27E1" w:rsidRDefault="00645186">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w:t>
            </w:r>
          </w:p>
        </w:tc>
        <w:tc>
          <w:tcPr>
            <w:tcW w:w="5627" w:type="dxa"/>
            <w:hideMark/>
          </w:tcPr>
          <w:p w14:paraId="5E574B40" w14:textId="77777777" w:rsidR="00645186" w:rsidRPr="00FB27E1"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sidRPr="00FB27E1">
              <w:rPr>
                <w:i/>
                <w:color w:val="auto"/>
                <w:spacing w:val="0"/>
                <w:sz w:val="22"/>
                <w:szCs w:val="22"/>
              </w:rPr>
              <w:t xml:space="preserve">nejvhodnější nabídka </w:t>
            </w:r>
          </w:p>
          <w:p w14:paraId="55EECB49" w14:textId="77777777" w:rsidR="00645186" w:rsidRPr="00FB27E1"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sidRPr="00FB27E1">
              <w:rPr>
                <w:i/>
                <w:color w:val="auto"/>
                <w:spacing w:val="0"/>
                <w:sz w:val="22"/>
                <w:szCs w:val="22"/>
              </w:rPr>
              <w:t>(nejnižší nabídková cena)</w:t>
            </w:r>
          </w:p>
        </w:tc>
        <w:tc>
          <w:tcPr>
            <w:tcW w:w="567" w:type="dxa"/>
            <w:vMerge w:val="restart"/>
          </w:tcPr>
          <w:p w14:paraId="44F9A515"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383EF03E"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61935DA7" w14:textId="77777777" w:rsidR="00645186" w:rsidRPr="00FB27E1" w:rsidRDefault="00645186">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x</w:t>
            </w:r>
          </w:p>
        </w:tc>
        <w:tc>
          <w:tcPr>
            <w:tcW w:w="708" w:type="dxa"/>
            <w:vMerge w:val="restart"/>
          </w:tcPr>
          <w:p w14:paraId="6D7CB56B"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6448BD55"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559462A2" w14:textId="173AFEE7" w:rsidR="00645186" w:rsidRPr="00FB27E1" w:rsidRDefault="008D1A6C">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4</w:t>
            </w:r>
            <w:r w:rsidR="00645186" w:rsidRPr="00FB27E1">
              <w:rPr>
                <w:i/>
                <w:color w:val="auto"/>
                <w:spacing w:val="0"/>
                <w:sz w:val="22"/>
                <w:szCs w:val="22"/>
              </w:rPr>
              <w:t>0 %</w:t>
            </w:r>
          </w:p>
        </w:tc>
      </w:tr>
      <w:tr w:rsidR="00645186" w14:paraId="03925F8F" w14:textId="77777777" w:rsidTr="00645186">
        <w:tc>
          <w:tcPr>
            <w:tcW w:w="1276" w:type="dxa"/>
            <w:vMerge/>
            <w:vAlign w:val="center"/>
            <w:hideMark/>
          </w:tcPr>
          <w:p w14:paraId="58BA2D64" w14:textId="77777777" w:rsidR="00645186" w:rsidRPr="00FB27E1" w:rsidRDefault="00645186">
            <w:pPr>
              <w:spacing w:before="0" w:after="0" w:line="240" w:lineRule="auto"/>
              <w:jc w:val="left"/>
              <w:rPr>
                <w:i/>
                <w:szCs w:val="22"/>
              </w:rPr>
            </w:pPr>
          </w:p>
        </w:tc>
        <w:tc>
          <w:tcPr>
            <w:tcW w:w="326" w:type="dxa"/>
            <w:vMerge/>
            <w:vAlign w:val="center"/>
            <w:hideMark/>
          </w:tcPr>
          <w:p w14:paraId="796C38AE" w14:textId="77777777" w:rsidR="00645186" w:rsidRPr="00FB27E1" w:rsidRDefault="00645186">
            <w:pPr>
              <w:spacing w:before="0" w:after="0" w:line="240" w:lineRule="auto"/>
              <w:jc w:val="left"/>
              <w:rPr>
                <w:i/>
                <w:szCs w:val="22"/>
              </w:rPr>
            </w:pPr>
          </w:p>
        </w:tc>
        <w:tc>
          <w:tcPr>
            <w:tcW w:w="5627" w:type="dxa"/>
            <w:hideMark/>
          </w:tcPr>
          <w:p w14:paraId="47C765DE" w14:textId="77777777" w:rsidR="00645186" w:rsidRDefault="00645186">
            <w:pPr>
              <w:pStyle w:val="Normlnzarovnatdobloku"/>
              <w:spacing w:line="276" w:lineRule="auto"/>
              <w:ind w:left="0"/>
              <w:rPr>
                <w:i/>
                <w:color w:val="auto"/>
                <w:spacing w:val="0"/>
                <w:sz w:val="22"/>
                <w:szCs w:val="22"/>
              </w:rPr>
            </w:pPr>
            <w:r w:rsidRPr="00FB27E1">
              <w:rPr>
                <w:i/>
                <w:spacing w:val="0"/>
                <w:sz w:val="22"/>
                <w:szCs w:val="22"/>
              </w:rPr>
              <w:t xml:space="preserve">100 </w:t>
            </w:r>
            <w:proofErr w:type="gramStart"/>
            <w:r w:rsidRPr="00FB27E1">
              <w:rPr>
                <w:i/>
                <w:spacing w:val="0"/>
                <w:sz w:val="22"/>
                <w:szCs w:val="22"/>
              </w:rPr>
              <w:t>x  ----------------------------------------------------------------------</w:t>
            </w:r>
            <w:proofErr w:type="gramEnd"/>
          </w:p>
        </w:tc>
        <w:tc>
          <w:tcPr>
            <w:tcW w:w="567" w:type="dxa"/>
            <w:vMerge/>
            <w:vAlign w:val="center"/>
            <w:hideMark/>
          </w:tcPr>
          <w:p w14:paraId="479BDCD3" w14:textId="77777777" w:rsidR="00645186" w:rsidRDefault="00645186">
            <w:pPr>
              <w:spacing w:before="0" w:after="0" w:line="240" w:lineRule="auto"/>
              <w:jc w:val="left"/>
              <w:rPr>
                <w:i/>
                <w:szCs w:val="22"/>
              </w:rPr>
            </w:pPr>
          </w:p>
        </w:tc>
        <w:tc>
          <w:tcPr>
            <w:tcW w:w="708" w:type="dxa"/>
            <w:vMerge/>
            <w:vAlign w:val="center"/>
            <w:hideMark/>
          </w:tcPr>
          <w:p w14:paraId="41736910" w14:textId="77777777" w:rsidR="00645186" w:rsidRDefault="00645186">
            <w:pPr>
              <w:spacing w:before="0" w:after="0" w:line="240" w:lineRule="auto"/>
              <w:jc w:val="left"/>
              <w:rPr>
                <w:i/>
                <w:szCs w:val="22"/>
              </w:rPr>
            </w:pPr>
          </w:p>
        </w:tc>
      </w:tr>
      <w:tr w:rsidR="00645186" w14:paraId="2426820E" w14:textId="77777777" w:rsidTr="00645186">
        <w:tc>
          <w:tcPr>
            <w:tcW w:w="1276" w:type="dxa"/>
            <w:vMerge/>
            <w:vAlign w:val="center"/>
            <w:hideMark/>
          </w:tcPr>
          <w:p w14:paraId="2168B523" w14:textId="77777777" w:rsidR="00645186" w:rsidRDefault="00645186">
            <w:pPr>
              <w:spacing w:before="0" w:after="0" w:line="240" w:lineRule="auto"/>
              <w:jc w:val="left"/>
              <w:rPr>
                <w:i/>
                <w:szCs w:val="22"/>
              </w:rPr>
            </w:pPr>
          </w:p>
        </w:tc>
        <w:tc>
          <w:tcPr>
            <w:tcW w:w="326" w:type="dxa"/>
            <w:vMerge/>
            <w:vAlign w:val="center"/>
            <w:hideMark/>
          </w:tcPr>
          <w:p w14:paraId="48F9BE6E" w14:textId="77777777" w:rsidR="00645186" w:rsidRDefault="00645186">
            <w:pPr>
              <w:spacing w:before="0" w:after="0" w:line="240" w:lineRule="auto"/>
              <w:jc w:val="left"/>
              <w:rPr>
                <w:i/>
                <w:szCs w:val="22"/>
              </w:rPr>
            </w:pPr>
          </w:p>
        </w:tc>
        <w:tc>
          <w:tcPr>
            <w:tcW w:w="5627" w:type="dxa"/>
            <w:hideMark/>
          </w:tcPr>
          <w:p w14:paraId="300B5D13" w14:textId="77777777" w:rsidR="00645186"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hodnocená nabídka</w:t>
            </w:r>
          </w:p>
        </w:tc>
        <w:tc>
          <w:tcPr>
            <w:tcW w:w="567" w:type="dxa"/>
            <w:vMerge/>
            <w:vAlign w:val="center"/>
            <w:hideMark/>
          </w:tcPr>
          <w:p w14:paraId="3EFE76F2" w14:textId="77777777" w:rsidR="00645186" w:rsidRDefault="00645186">
            <w:pPr>
              <w:spacing w:before="0" w:after="0" w:line="240" w:lineRule="auto"/>
              <w:jc w:val="left"/>
              <w:rPr>
                <w:i/>
                <w:szCs w:val="22"/>
              </w:rPr>
            </w:pPr>
          </w:p>
        </w:tc>
        <w:tc>
          <w:tcPr>
            <w:tcW w:w="708" w:type="dxa"/>
            <w:vMerge/>
            <w:vAlign w:val="center"/>
            <w:hideMark/>
          </w:tcPr>
          <w:p w14:paraId="432601F9" w14:textId="77777777" w:rsidR="00645186" w:rsidRDefault="00645186">
            <w:pPr>
              <w:spacing w:before="0" w:after="0" w:line="240" w:lineRule="auto"/>
              <w:jc w:val="left"/>
              <w:rPr>
                <w:i/>
                <w:szCs w:val="22"/>
              </w:rPr>
            </w:pPr>
          </w:p>
        </w:tc>
      </w:tr>
    </w:tbl>
    <w:p w14:paraId="706AEF32" w14:textId="46A6717D" w:rsidR="00645186" w:rsidRDefault="00645186" w:rsidP="00645186">
      <w:pPr>
        <w:widowControl w:val="0"/>
      </w:pPr>
    </w:p>
    <w:p w14:paraId="7A5CA219" w14:textId="77777777" w:rsidR="00FB27E1" w:rsidRDefault="00FB27E1" w:rsidP="00645186">
      <w:pPr>
        <w:widowControl w:val="0"/>
      </w:pPr>
    </w:p>
    <w:p w14:paraId="7373F7A5" w14:textId="64F9C067" w:rsidR="008D1A6C" w:rsidRDefault="008D1A6C" w:rsidP="00FB27E1">
      <w:pPr>
        <w:pStyle w:val="Nadpis3"/>
        <w:keepNext w:val="0"/>
        <w:keepLines/>
        <w:numPr>
          <w:ilvl w:val="2"/>
          <w:numId w:val="15"/>
        </w:numPr>
        <w:spacing w:after="240"/>
        <w:ind w:left="709" w:hanging="709"/>
        <w:rPr>
          <w:rFonts w:cs="Times New Roman"/>
          <w:szCs w:val="22"/>
          <w:lang w:eastAsia="x-none"/>
        </w:rPr>
      </w:pPr>
      <w:r w:rsidRPr="00FB27E1">
        <w:rPr>
          <w:rFonts w:cs="Times New Roman"/>
          <w:szCs w:val="22"/>
          <w:lang w:eastAsia="x-none"/>
        </w:rPr>
        <w:lastRenderedPageBreak/>
        <w:t>Nabídková cena za 1 lůžko-měsíc v Kč</w:t>
      </w:r>
    </w:p>
    <w:p w14:paraId="42F06350" w14:textId="77777777" w:rsidR="008D1A6C" w:rsidRDefault="008D1A6C" w:rsidP="008D1A6C">
      <w:pPr>
        <w:keepLines/>
        <w:spacing w:before="0" w:after="0"/>
        <w:rPr>
          <w:rFonts w:cs="Arial"/>
          <w:szCs w:val="22"/>
        </w:rPr>
      </w:pPr>
      <w:r>
        <w:rPr>
          <w:rFonts w:cs="Calibri"/>
          <w:szCs w:val="22"/>
        </w:rPr>
        <w:t>Pro toto dílčí kritérium, pro které má nejvhodnější nabídka minimální hodnotu kritéria, získá hodnocená nabídka bodovou hodnotu, která vznikne násobkem 100 a poměru hodnoty nejvhodnější nabídky k hodnocené nabídce, a váhy daného kritéria (dle uvedeného vzorce):</w:t>
      </w:r>
    </w:p>
    <w:tbl>
      <w:tblPr>
        <w:tblpPr w:leftFromText="141" w:rightFromText="141" w:vertAnchor="text" w:horzAnchor="margin" w:tblpY="138"/>
        <w:tblW w:w="8505" w:type="dxa"/>
        <w:tblLayout w:type="fixed"/>
        <w:tblLook w:val="04A0" w:firstRow="1" w:lastRow="0" w:firstColumn="1" w:lastColumn="0" w:noHBand="0" w:noVBand="1"/>
      </w:tblPr>
      <w:tblGrid>
        <w:gridCol w:w="1276"/>
        <w:gridCol w:w="326"/>
        <w:gridCol w:w="5628"/>
        <w:gridCol w:w="567"/>
        <w:gridCol w:w="708"/>
      </w:tblGrid>
      <w:tr w:rsidR="008D1A6C" w:rsidRPr="00FB27E1" w14:paraId="320D30CB" w14:textId="77777777" w:rsidTr="004854E0">
        <w:tc>
          <w:tcPr>
            <w:tcW w:w="1276" w:type="dxa"/>
            <w:vMerge w:val="restart"/>
          </w:tcPr>
          <w:p w14:paraId="1B1EBCF8" w14:textId="77777777" w:rsidR="008D1A6C" w:rsidRDefault="008D1A6C" w:rsidP="004854E0">
            <w:pPr>
              <w:pStyle w:val="Normlnzarovnatdobloku"/>
              <w:shd w:val="clear" w:color="auto" w:fill="auto"/>
              <w:spacing w:line="276" w:lineRule="auto"/>
              <w:ind w:left="0"/>
              <w:rPr>
                <w:i/>
                <w:color w:val="auto"/>
                <w:spacing w:val="0"/>
                <w:sz w:val="22"/>
                <w:szCs w:val="22"/>
              </w:rPr>
            </w:pPr>
          </w:p>
          <w:p w14:paraId="054445D2" w14:textId="77777777" w:rsidR="008D1A6C" w:rsidRDefault="008D1A6C" w:rsidP="004854E0">
            <w:pPr>
              <w:pStyle w:val="Normlnzarovnatdobloku"/>
              <w:shd w:val="clear" w:color="auto" w:fill="auto"/>
              <w:spacing w:line="276" w:lineRule="auto"/>
              <w:ind w:left="0"/>
              <w:rPr>
                <w:i/>
                <w:color w:val="auto"/>
                <w:spacing w:val="0"/>
                <w:sz w:val="22"/>
                <w:szCs w:val="22"/>
              </w:rPr>
            </w:pPr>
          </w:p>
          <w:p w14:paraId="273746F5" w14:textId="77777777" w:rsidR="008D1A6C" w:rsidRDefault="008D1A6C" w:rsidP="004854E0">
            <w:pPr>
              <w:pStyle w:val="Normlnzarovnatdobloku"/>
              <w:shd w:val="clear" w:color="auto" w:fill="auto"/>
              <w:spacing w:line="276" w:lineRule="auto"/>
              <w:ind w:left="0"/>
              <w:rPr>
                <w:i/>
                <w:color w:val="auto"/>
                <w:spacing w:val="0"/>
                <w:sz w:val="22"/>
                <w:szCs w:val="22"/>
              </w:rPr>
            </w:pPr>
            <w:r>
              <w:rPr>
                <w:i/>
                <w:color w:val="auto"/>
                <w:spacing w:val="0"/>
                <w:sz w:val="22"/>
                <w:szCs w:val="22"/>
              </w:rPr>
              <w:t>Počet bodů</w:t>
            </w:r>
          </w:p>
        </w:tc>
        <w:tc>
          <w:tcPr>
            <w:tcW w:w="326" w:type="dxa"/>
            <w:vMerge w:val="restart"/>
          </w:tcPr>
          <w:p w14:paraId="0EA9EB4A" w14:textId="77777777" w:rsidR="008D1A6C" w:rsidRDefault="008D1A6C" w:rsidP="004854E0">
            <w:pPr>
              <w:pStyle w:val="Normlnzarovnatdobloku"/>
              <w:shd w:val="clear" w:color="auto" w:fill="auto"/>
              <w:spacing w:line="276" w:lineRule="auto"/>
              <w:ind w:left="0"/>
              <w:rPr>
                <w:i/>
                <w:color w:val="auto"/>
                <w:spacing w:val="0"/>
                <w:sz w:val="22"/>
                <w:szCs w:val="22"/>
              </w:rPr>
            </w:pPr>
          </w:p>
          <w:p w14:paraId="27B437E5" w14:textId="77777777" w:rsidR="008D1A6C" w:rsidRDefault="008D1A6C" w:rsidP="004854E0">
            <w:pPr>
              <w:pStyle w:val="Normlnzarovnatdobloku"/>
              <w:shd w:val="clear" w:color="auto" w:fill="auto"/>
              <w:spacing w:line="276" w:lineRule="auto"/>
              <w:ind w:left="0"/>
              <w:rPr>
                <w:i/>
                <w:color w:val="auto"/>
                <w:spacing w:val="0"/>
                <w:sz w:val="22"/>
                <w:szCs w:val="22"/>
              </w:rPr>
            </w:pPr>
          </w:p>
          <w:p w14:paraId="47D12701" w14:textId="77777777" w:rsidR="008D1A6C" w:rsidRDefault="008D1A6C" w:rsidP="004854E0">
            <w:pPr>
              <w:pStyle w:val="Normlnzarovnatdobloku"/>
              <w:shd w:val="clear" w:color="auto" w:fill="auto"/>
              <w:spacing w:line="276" w:lineRule="auto"/>
              <w:ind w:left="0"/>
              <w:rPr>
                <w:i/>
                <w:color w:val="auto"/>
                <w:spacing w:val="0"/>
                <w:sz w:val="22"/>
                <w:szCs w:val="22"/>
              </w:rPr>
            </w:pPr>
            <w:r>
              <w:rPr>
                <w:i/>
                <w:color w:val="auto"/>
                <w:spacing w:val="0"/>
                <w:sz w:val="22"/>
                <w:szCs w:val="22"/>
              </w:rPr>
              <w:t>=</w:t>
            </w:r>
          </w:p>
        </w:tc>
        <w:tc>
          <w:tcPr>
            <w:tcW w:w="5627" w:type="dxa"/>
            <w:hideMark/>
          </w:tcPr>
          <w:p w14:paraId="3DD230E6" w14:textId="77777777" w:rsidR="008D1A6C" w:rsidRDefault="008D1A6C" w:rsidP="004854E0">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 xml:space="preserve">nejvhodnější nabídka </w:t>
            </w:r>
          </w:p>
          <w:p w14:paraId="43AAB1BC" w14:textId="77777777" w:rsidR="008D1A6C" w:rsidRDefault="008D1A6C" w:rsidP="004854E0">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(nejnižší nabídková cena)</w:t>
            </w:r>
          </w:p>
        </w:tc>
        <w:tc>
          <w:tcPr>
            <w:tcW w:w="567" w:type="dxa"/>
            <w:vMerge w:val="restart"/>
          </w:tcPr>
          <w:p w14:paraId="06714C65" w14:textId="77777777" w:rsidR="008D1A6C" w:rsidRDefault="008D1A6C" w:rsidP="004854E0">
            <w:pPr>
              <w:pStyle w:val="Normlnzarovnatdobloku"/>
              <w:shd w:val="clear" w:color="auto" w:fill="auto"/>
              <w:spacing w:line="276" w:lineRule="auto"/>
              <w:ind w:left="0"/>
              <w:rPr>
                <w:i/>
                <w:color w:val="auto"/>
                <w:spacing w:val="0"/>
                <w:sz w:val="22"/>
                <w:szCs w:val="22"/>
              </w:rPr>
            </w:pPr>
          </w:p>
          <w:p w14:paraId="438C8307" w14:textId="77777777" w:rsidR="008D1A6C" w:rsidRDefault="008D1A6C" w:rsidP="004854E0">
            <w:pPr>
              <w:pStyle w:val="Normlnzarovnatdobloku"/>
              <w:shd w:val="clear" w:color="auto" w:fill="auto"/>
              <w:spacing w:line="276" w:lineRule="auto"/>
              <w:ind w:left="0"/>
              <w:rPr>
                <w:i/>
                <w:color w:val="auto"/>
                <w:spacing w:val="0"/>
                <w:sz w:val="22"/>
                <w:szCs w:val="22"/>
              </w:rPr>
            </w:pPr>
          </w:p>
          <w:p w14:paraId="008B7033" w14:textId="77777777" w:rsidR="008D1A6C" w:rsidRDefault="008D1A6C" w:rsidP="004854E0">
            <w:pPr>
              <w:pStyle w:val="Normlnzarovnatdobloku"/>
              <w:shd w:val="clear" w:color="auto" w:fill="auto"/>
              <w:spacing w:line="276" w:lineRule="auto"/>
              <w:ind w:left="0"/>
              <w:rPr>
                <w:i/>
                <w:color w:val="auto"/>
                <w:spacing w:val="0"/>
                <w:sz w:val="22"/>
                <w:szCs w:val="22"/>
              </w:rPr>
            </w:pPr>
            <w:r>
              <w:rPr>
                <w:i/>
                <w:color w:val="auto"/>
                <w:spacing w:val="0"/>
                <w:sz w:val="22"/>
                <w:szCs w:val="22"/>
              </w:rPr>
              <w:t>x</w:t>
            </w:r>
          </w:p>
        </w:tc>
        <w:tc>
          <w:tcPr>
            <w:tcW w:w="708" w:type="dxa"/>
            <w:vMerge w:val="restart"/>
          </w:tcPr>
          <w:p w14:paraId="005C010A" w14:textId="77777777" w:rsidR="008D1A6C" w:rsidRPr="00FB27E1" w:rsidRDefault="008D1A6C" w:rsidP="004854E0">
            <w:pPr>
              <w:pStyle w:val="Normlnzarovnatdobloku"/>
              <w:shd w:val="clear" w:color="auto" w:fill="auto"/>
              <w:spacing w:line="276" w:lineRule="auto"/>
              <w:ind w:left="0"/>
              <w:rPr>
                <w:i/>
                <w:color w:val="auto"/>
                <w:spacing w:val="0"/>
                <w:sz w:val="22"/>
                <w:szCs w:val="22"/>
              </w:rPr>
            </w:pPr>
          </w:p>
          <w:p w14:paraId="64A08C10" w14:textId="77777777" w:rsidR="008D1A6C" w:rsidRPr="00FB27E1" w:rsidRDefault="008D1A6C" w:rsidP="004854E0">
            <w:pPr>
              <w:pStyle w:val="Normlnzarovnatdobloku"/>
              <w:shd w:val="clear" w:color="auto" w:fill="auto"/>
              <w:spacing w:line="276" w:lineRule="auto"/>
              <w:ind w:left="0"/>
              <w:rPr>
                <w:i/>
                <w:color w:val="auto"/>
                <w:spacing w:val="0"/>
                <w:sz w:val="22"/>
                <w:szCs w:val="22"/>
              </w:rPr>
            </w:pPr>
          </w:p>
          <w:p w14:paraId="7E2A2653" w14:textId="503AB791" w:rsidR="008D1A6C" w:rsidRPr="00FB27E1" w:rsidRDefault="008D1A6C" w:rsidP="004854E0">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40 %</w:t>
            </w:r>
          </w:p>
        </w:tc>
      </w:tr>
      <w:tr w:rsidR="008D1A6C" w:rsidRPr="00FB27E1" w14:paraId="462FB8FD" w14:textId="77777777" w:rsidTr="004854E0">
        <w:tc>
          <w:tcPr>
            <w:tcW w:w="1276" w:type="dxa"/>
            <w:vMerge/>
            <w:vAlign w:val="center"/>
            <w:hideMark/>
          </w:tcPr>
          <w:p w14:paraId="3F15B24A" w14:textId="77777777" w:rsidR="008D1A6C" w:rsidRDefault="008D1A6C" w:rsidP="004854E0">
            <w:pPr>
              <w:spacing w:before="0" w:after="0" w:line="240" w:lineRule="auto"/>
              <w:jc w:val="left"/>
              <w:rPr>
                <w:i/>
                <w:szCs w:val="22"/>
              </w:rPr>
            </w:pPr>
          </w:p>
        </w:tc>
        <w:tc>
          <w:tcPr>
            <w:tcW w:w="326" w:type="dxa"/>
            <w:vMerge/>
            <w:vAlign w:val="center"/>
            <w:hideMark/>
          </w:tcPr>
          <w:p w14:paraId="3E6592DB" w14:textId="77777777" w:rsidR="008D1A6C" w:rsidRDefault="008D1A6C" w:rsidP="004854E0">
            <w:pPr>
              <w:spacing w:before="0" w:after="0" w:line="240" w:lineRule="auto"/>
              <w:jc w:val="left"/>
              <w:rPr>
                <w:i/>
                <w:szCs w:val="22"/>
              </w:rPr>
            </w:pPr>
          </w:p>
        </w:tc>
        <w:tc>
          <w:tcPr>
            <w:tcW w:w="5627" w:type="dxa"/>
            <w:hideMark/>
          </w:tcPr>
          <w:p w14:paraId="59BFAA75" w14:textId="77777777" w:rsidR="008D1A6C" w:rsidRDefault="008D1A6C" w:rsidP="004854E0">
            <w:pPr>
              <w:pStyle w:val="Normlnzarovnatdobloku"/>
              <w:spacing w:line="276" w:lineRule="auto"/>
              <w:ind w:left="0"/>
              <w:rPr>
                <w:i/>
                <w:color w:val="auto"/>
                <w:spacing w:val="0"/>
                <w:sz w:val="22"/>
                <w:szCs w:val="22"/>
              </w:rPr>
            </w:pPr>
            <w:r>
              <w:rPr>
                <w:i/>
                <w:spacing w:val="0"/>
                <w:sz w:val="22"/>
                <w:szCs w:val="22"/>
              </w:rPr>
              <w:t xml:space="preserve">100 </w:t>
            </w:r>
            <w:proofErr w:type="gramStart"/>
            <w:r>
              <w:rPr>
                <w:i/>
                <w:spacing w:val="0"/>
                <w:sz w:val="22"/>
                <w:szCs w:val="22"/>
              </w:rPr>
              <w:t>x  ----------------------------------------------------------------------</w:t>
            </w:r>
            <w:proofErr w:type="gramEnd"/>
          </w:p>
        </w:tc>
        <w:tc>
          <w:tcPr>
            <w:tcW w:w="567" w:type="dxa"/>
            <w:vMerge/>
            <w:vAlign w:val="center"/>
            <w:hideMark/>
          </w:tcPr>
          <w:p w14:paraId="28FB2E9C" w14:textId="77777777" w:rsidR="008D1A6C" w:rsidRDefault="008D1A6C" w:rsidP="004854E0">
            <w:pPr>
              <w:spacing w:before="0" w:after="0" w:line="240" w:lineRule="auto"/>
              <w:jc w:val="left"/>
              <w:rPr>
                <w:i/>
                <w:szCs w:val="22"/>
              </w:rPr>
            </w:pPr>
          </w:p>
        </w:tc>
        <w:tc>
          <w:tcPr>
            <w:tcW w:w="708" w:type="dxa"/>
            <w:vMerge/>
            <w:vAlign w:val="center"/>
            <w:hideMark/>
          </w:tcPr>
          <w:p w14:paraId="4737E3EC" w14:textId="77777777" w:rsidR="008D1A6C" w:rsidRPr="00FB27E1" w:rsidRDefault="008D1A6C" w:rsidP="004854E0">
            <w:pPr>
              <w:spacing w:before="0" w:after="0" w:line="240" w:lineRule="auto"/>
              <w:jc w:val="left"/>
              <w:rPr>
                <w:i/>
                <w:szCs w:val="22"/>
              </w:rPr>
            </w:pPr>
          </w:p>
        </w:tc>
      </w:tr>
      <w:tr w:rsidR="008D1A6C" w14:paraId="6EF5DA11" w14:textId="77777777" w:rsidTr="004854E0">
        <w:tc>
          <w:tcPr>
            <w:tcW w:w="1276" w:type="dxa"/>
            <w:vMerge/>
            <w:vAlign w:val="center"/>
            <w:hideMark/>
          </w:tcPr>
          <w:p w14:paraId="2FD89D19" w14:textId="77777777" w:rsidR="008D1A6C" w:rsidRDefault="008D1A6C" w:rsidP="004854E0">
            <w:pPr>
              <w:spacing w:before="0" w:after="0" w:line="240" w:lineRule="auto"/>
              <w:jc w:val="left"/>
              <w:rPr>
                <w:i/>
                <w:szCs w:val="22"/>
              </w:rPr>
            </w:pPr>
          </w:p>
        </w:tc>
        <w:tc>
          <w:tcPr>
            <w:tcW w:w="326" w:type="dxa"/>
            <w:vMerge/>
            <w:vAlign w:val="center"/>
            <w:hideMark/>
          </w:tcPr>
          <w:p w14:paraId="240FA419" w14:textId="77777777" w:rsidR="008D1A6C" w:rsidRDefault="008D1A6C" w:rsidP="004854E0">
            <w:pPr>
              <w:spacing w:before="0" w:after="0" w:line="240" w:lineRule="auto"/>
              <w:jc w:val="left"/>
              <w:rPr>
                <w:i/>
                <w:szCs w:val="22"/>
              </w:rPr>
            </w:pPr>
          </w:p>
        </w:tc>
        <w:tc>
          <w:tcPr>
            <w:tcW w:w="5627" w:type="dxa"/>
            <w:hideMark/>
          </w:tcPr>
          <w:p w14:paraId="071708A9" w14:textId="77777777" w:rsidR="008D1A6C" w:rsidRDefault="008D1A6C" w:rsidP="004854E0">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hodnocená nabídka</w:t>
            </w:r>
          </w:p>
        </w:tc>
        <w:tc>
          <w:tcPr>
            <w:tcW w:w="567" w:type="dxa"/>
            <w:vMerge/>
            <w:vAlign w:val="center"/>
            <w:hideMark/>
          </w:tcPr>
          <w:p w14:paraId="19B3EA01" w14:textId="77777777" w:rsidR="008D1A6C" w:rsidRDefault="008D1A6C" w:rsidP="004854E0">
            <w:pPr>
              <w:spacing w:before="0" w:after="0" w:line="240" w:lineRule="auto"/>
              <w:jc w:val="left"/>
              <w:rPr>
                <w:i/>
                <w:szCs w:val="22"/>
              </w:rPr>
            </w:pPr>
          </w:p>
        </w:tc>
        <w:tc>
          <w:tcPr>
            <w:tcW w:w="708" w:type="dxa"/>
            <w:vMerge/>
            <w:vAlign w:val="center"/>
            <w:hideMark/>
          </w:tcPr>
          <w:p w14:paraId="2624DB17" w14:textId="77777777" w:rsidR="008D1A6C" w:rsidRDefault="008D1A6C" w:rsidP="004854E0">
            <w:pPr>
              <w:spacing w:before="0" w:after="0" w:line="240" w:lineRule="auto"/>
              <w:jc w:val="left"/>
              <w:rPr>
                <w:i/>
                <w:szCs w:val="22"/>
              </w:rPr>
            </w:pPr>
          </w:p>
        </w:tc>
      </w:tr>
    </w:tbl>
    <w:p w14:paraId="516751F7" w14:textId="77777777" w:rsidR="00645186" w:rsidRPr="008D1A6C" w:rsidRDefault="00645186" w:rsidP="00645186">
      <w:pPr>
        <w:widowControl w:val="0"/>
        <w:rPr>
          <w:b/>
          <w:bCs/>
        </w:rPr>
      </w:pPr>
    </w:p>
    <w:p w14:paraId="03C053DD" w14:textId="77777777" w:rsidR="00645186" w:rsidRPr="00FB27E1" w:rsidRDefault="00645186" w:rsidP="00FB27E1">
      <w:pPr>
        <w:pStyle w:val="Nadpis3"/>
        <w:keepNext w:val="0"/>
        <w:keepLines/>
        <w:numPr>
          <w:ilvl w:val="2"/>
          <w:numId w:val="15"/>
        </w:numPr>
        <w:spacing w:after="240"/>
        <w:ind w:left="709" w:hanging="709"/>
        <w:rPr>
          <w:rFonts w:cs="Times New Roman"/>
          <w:szCs w:val="22"/>
          <w:lang w:eastAsia="x-none"/>
        </w:rPr>
      </w:pPr>
      <w:r w:rsidRPr="00FB27E1">
        <w:rPr>
          <w:rFonts w:cs="Times New Roman"/>
          <w:szCs w:val="22"/>
          <w:lang w:eastAsia="x-none"/>
        </w:rPr>
        <w:t>Počet podpořených osob</w:t>
      </w:r>
    </w:p>
    <w:p w14:paraId="045E04AE" w14:textId="77777777" w:rsidR="00645186" w:rsidRDefault="00645186" w:rsidP="00645186">
      <w:pPr>
        <w:rPr>
          <w:rFonts w:cs="Calibri"/>
          <w:szCs w:val="22"/>
        </w:rPr>
      </w:pPr>
      <w:r>
        <w:rPr>
          <w:lang w:eastAsia="x-none"/>
        </w:rPr>
        <w:t xml:space="preserve">Pro toto kritérium, </w:t>
      </w:r>
      <w:r>
        <w:rPr>
          <w:rFonts w:cs="Calibri"/>
          <w:szCs w:val="22"/>
        </w:rPr>
        <w:t>pro které má nejvhodnější nabídka maximální hodnotu kritéria (tj. nejvíce bodů), získá hodnocená nabídka bodovou hodnotu, která vznikne násobkem 100 a poměru hodnoty hodnocené nabídky k nejvhodnější nabídce a váhy daného kritéria (dle uvedeného vzorce):</w:t>
      </w:r>
    </w:p>
    <w:tbl>
      <w:tblPr>
        <w:tblpPr w:leftFromText="141" w:rightFromText="141" w:vertAnchor="text" w:horzAnchor="margin" w:tblpY="138"/>
        <w:tblW w:w="8505" w:type="dxa"/>
        <w:tblLayout w:type="fixed"/>
        <w:tblLook w:val="04A0" w:firstRow="1" w:lastRow="0" w:firstColumn="1" w:lastColumn="0" w:noHBand="0" w:noVBand="1"/>
      </w:tblPr>
      <w:tblGrid>
        <w:gridCol w:w="1276"/>
        <w:gridCol w:w="326"/>
        <w:gridCol w:w="5628"/>
        <w:gridCol w:w="567"/>
        <w:gridCol w:w="708"/>
      </w:tblGrid>
      <w:tr w:rsidR="00645186" w:rsidRPr="00FB27E1" w14:paraId="4C017389" w14:textId="77777777" w:rsidTr="00645186">
        <w:tc>
          <w:tcPr>
            <w:tcW w:w="1276" w:type="dxa"/>
            <w:vMerge w:val="restart"/>
          </w:tcPr>
          <w:p w14:paraId="25E62DF3" w14:textId="77777777" w:rsidR="00645186" w:rsidRDefault="00645186">
            <w:pPr>
              <w:pStyle w:val="Normlnzarovnatdobloku"/>
              <w:shd w:val="clear" w:color="auto" w:fill="auto"/>
              <w:spacing w:line="276" w:lineRule="auto"/>
              <w:ind w:left="0"/>
              <w:rPr>
                <w:i/>
                <w:color w:val="auto"/>
                <w:spacing w:val="0"/>
                <w:sz w:val="22"/>
                <w:szCs w:val="22"/>
              </w:rPr>
            </w:pPr>
          </w:p>
          <w:p w14:paraId="0A7D9999" w14:textId="77777777" w:rsidR="00645186" w:rsidRDefault="00645186">
            <w:pPr>
              <w:pStyle w:val="Normlnzarovnatdobloku"/>
              <w:shd w:val="clear" w:color="auto" w:fill="auto"/>
              <w:spacing w:line="276" w:lineRule="auto"/>
              <w:ind w:left="0"/>
              <w:rPr>
                <w:i/>
                <w:color w:val="auto"/>
                <w:spacing w:val="0"/>
                <w:sz w:val="22"/>
                <w:szCs w:val="22"/>
              </w:rPr>
            </w:pPr>
            <w:r>
              <w:rPr>
                <w:i/>
                <w:color w:val="auto"/>
                <w:spacing w:val="0"/>
                <w:sz w:val="22"/>
                <w:szCs w:val="22"/>
              </w:rPr>
              <w:t>Počet bodů</w:t>
            </w:r>
          </w:p>
        </w:tc>
        <w:tc>
          <w:tcPr>
            <w:tcW w:w="326" w:type="dxa"/>
            <w:vMerge w:val="restart"/>
          </w:tcPr>
          <w:p w14:paraId="0F7A3FA7" w14:textId="77777777" w:rsidR="00645186" w:rsidRDefault="00645186">
            <w:pPr>
              <w:pStyle w:val="Normlnzarovnatdobloku"/>
              <w:shd w:val="clear" w:color="auto" w:fill="auto"/>
              <w:spacing w:line="276" w:lineRule="auto"/>
              <w:ind w:left="0"/>
              <w:rPr>
                <w:i/>
                <w:color w:val="auto"/>
                <w:spacing w:val="0"/>
                <w:sz w:val="22"/>
                <w:szCs w:val="22"/>
              </w:rPr>
            </w:pPr>
          </w:p>
          <w:p w14:paraId="5FE89E91" w14:textId="77777777" w:rsidR="00645186" w:rsidRDefault="00645186">
            <w:pPr>
              <w:pStyle w:val="Normlnzarovnatdobloku"/>
              <w:shd w:val="clear" w:color="auto" w:fill="auto"/>
              <w:spacing w:line="276" w:lineRule="auto"/>
              <w:ind w:left="0"/>
              <w:rPr>
                <w:i/>
                <w:color w:val="auto"/>
                <w:spacing w:val="0"/>
                <w:sz w:val="22"/>
                <w:szCs w:val="22"/>
              </w:rPr>
            </w:pPr>
            <w:r>
              <w:rPr>
                <w:i/>
                <w:color w:val="auto"/>
                <w:spacing w:val="0"/>
                <w:sz w:val="22"/>
                <w:szCs w:val="22"/>
              </w:rPr>
              <w:t>=</w:t>
            </w:r>
          </w:p>
        </w:tc>
        <w:tc>
          <w:tcPr>
            <w:tcW w:w="5627" w:type="dxa"/>
            <w:hideMark/>
          </w:tcPr>
          <w:p w14:paraId="7A1803A7" w14:textId="77777777" w:rsidR="00645186"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hodnocená nabídka</w:t>
            </w:r>
          </w:p>
        </w:tc>
        <w:tc>
          <w:tcPr>
            <w:tcW w:w="567" w:type="dxa"/>
            <w:vMerge w:val="restart"/>
          </w:tcPr>
          <w:p w14:paraId="06511BDA" w14:textId="77777777" w:rsidR="00645186" w:rsidRDefault="00645186">
            <w:pPr>
              <w:pStyle w:val="Normlnzarovnatdobloku"/>
              <w:shd w:val="clear" w:color="auto" w:fill="auto"/>
              <w:spacing w:line="276" w:lineRule="auto"/>
              <w:ind w:left="0"/>
              <w:rPr>
                <w:i/>
                <w:color w:val="auto"/>
                <w:spacing w:val="0"/>
                <w:sz w:val="22"/>
                <w:szCs w:val="22"/>
              </w:rPr>
            </w:pPr>
          </w:p>
          <w:p w14:paraId="70A6292C" w14:textId="77777777" w:rsidR="00645186" w:rsidRDefault="00645186">
            <w:pPr>
              <w:pStyle w:val="Normlnzarovnatdobloku"/>
              <w:shd w:val="clear" w:color="auto" w:fill="auto"/>
              <w:spacing w:line="276" w:lineRule="auto"/>
              <w:ind w:left="0"/>
              <w:rPr>
                <w:i/>
                <w:color w:val="auto"/>
                <w:spacing w:val="0"/>
                <w:sz w:val="22"/>
                <w:szCs w:val="22"/>
              </w:rPr>
            </w:pPr>
            <w:r>
              <w:rPr>
                <w:i/>
                <w:color w:val="auto"/>
                <w:spacing w:val="0"/>
                <w:sz w:val="22"/>
                <w:szCs w:val="22"/>
              </w:rPr>
              <w:t>x</w:t>
            </w:r>
          </w:p>
        </w:tc>
        <w:tc>
          <w:tcPr>
            <w:tcW w:w="708" w:type="dxa"/>
            <w:vMerge w:val="restart"/>
          </w:tcPr>
          <w:p w14:paraId="318678EB" w14:textId="77777777" w:rsidR="00645186" w:rsidRPr="00FB27E1" w:rsidRDefault="00645186">
            <w:pPr>
              <w:pStyle w:val="Normlnzarovnatdobloku"/>
              <w:shd w:val="clear" w:color="auto" w:fill="auto"/>
              <w:spacing w:line="276" w:lineRule="auto"/>
              <w:ind w:left="0"/>
              <w:rPr>
                <w:i/>
                <w:color w:val="auto"/>
                <w:spacing w:val="0"/>
                <w:sz w:val="22"/>
                <w:szCs w:val="22"/>
              </w:rPr>
            </w:pPr>
          </w:p>
          <w:p w14:paraId="0ED993A2" w14:textId="77777777" w:rsidR="00645186" w:rsidRPr="00FB27E1" w:rsidRDefault="00645186">
            <w:pPr>
              <w:pStyle w:val="Normlnzarovnatdobloku"/>
              <w:shd w:val="clear" w:color="auto" w:fill="auto"/>
              <w:spacing w:line="276" w:lineRule="auto"/>
              <w:ind w:left="0"/>
              <w:rPr>
                <w:i/>
                <w:color w:val="auto"/>
                <w:spacing w:val="0"/>
                <w:sz w:val="22"/>
                <w:szCs w:val="22"/>
              </w:rPr>
            </w:pPr>
            <w:r w:rsidRPr="00FB27E1">
              <w:rPr>
                <w:i/>
                <w:color w:val="auto"/>
                <w:spacing w:val="0"/>
                <w:sz w:val="22"/>
                <w:szCs w:val="22"/>
              </w:rPr>
              <w:t>20 %</w:t>
            </w:r>
          </w:p>
        </w:tc>
      </w:tr>
      <w:tr w:rsidR="00645186" w:rsidRPr="00FB27E1" w14:paraId="7AA698DF" w14:textId="77777777" w:rsidTr="00645186">
        <w:tc>
          <w:tcPr>
            <w:tcW w:w="1276" w:type="dxa"/>
            <w:vMerge/>
            <w:vAlign w:val="center"/>
            <w:hideMark/>
          </w:tcPr>
          <w:p w14:paraId="6EBA25C2" w14:textId="77777777" w:rsidR="00645186" w:rsidRDefault="00645186">
            <w:pPr>
              <w:spacing w:before="0" w:after="0" w:line="240" w:lineRule="auto"/>
              <w:jc w:val="left"/>
              <w:rPr>
                <w:i/>
                <w:szCs w:val="22"/>
              </w:rPr>
            </w:pPr>
          </w:p>
        </w:tc>
        <w:tc>
          <w:tcPr>
            <w:tcW w:w="326" w:type="dxa"/>
            <w:vMerge/>
            <w:vAlign w:val="center"/>
            <w:hideMark/>
          </w:tcPr>
          <w:p w14:paraId="76477F41" w14:textId="77777777" w:rsidR="00645186" w:rsidRDefault="00645186">
            <w:pPr>
              <w:spacing w:before="0" w:after="0" w:line="240" w:lineRule="auto"/>
              <w:jc w:val="left"/>
              <w:rPr>
                <w:i/>
                <w:szCs w:val="22"/>
              </w:rPr>
            </w:pPr>
          </w:p>
        </w:tc>
        <w:tc>
          <w:tcPr>
            <w:tcW w:w="5627" w:type="dxa"/>
            <w:hideMark/>
          </w:tcPr>
          <w:p w14:paraId="2FE9E384" w14:textId="77777777" w:rsidR="00645186" w:rsidRDefault="00645186">
            <w:pPr>
              <w:pStyle w:val="Normlnzarovnatdobloku"/>
              <w:spacing w:line="276" w:lineRule="auto"/>
              <w:ind w:left="0"/>
              <w:rPr>
                <w:i/>
                <w:color w:val="auto"/>
                <w:spacing w:val="0"/>
                <w:sz w:val="22"/>
                <w:szCs w:val="22"/>
              </w:rPr>
            </w:pPr>
            <w:r>
              <w:rPr>
                <w:i/>
                <w:spacing w:val="0"/>
                <w:sz w:val="22"/>
                <w:szCs w:val="22"/>
              </w:rPr>
              <w:t xml:space="preserve">100 </w:t>
            </w:r>
            <w:proofErr w:type="gramStart"/>
            <w:r>
              <w:rPr>
                <w:i/>
                <w:spacing w:val="0"/>
                <w:sz w:val="22"/>
                <w:szCs w:val="22"/>
              </w:rPr>
              <w:t>x  ----------------------------------------------------------------------</w:t>
            </w:r>
            <w:proofErr w:type="gramEnd"/>
          </w:p>
        </w:tc>
        <w:tc>
          <w:tcPr>
            <w:tcW w:w="567" w:type="dxa"/>
            <w:vMerge/>
            <w:vAlign w:val="center"/>
            <w:hideMark/>
          </w:tcPr>
          <w:p w14:paraId="3AC9FF04" w14:textId="77777777" w:rsidR="00645186" w:rsidRDefault="00645186">
            <w:pPr>
              <w:spacing w:before="0" w:after="0" w:line="240" w:lineRule="auto"/>
              <w:jc w:val="left"/>
              <w:rPr>
                <w:i/>
                <w:szCs w:val="22"/>
              </w:rPr>
            </w:pPr>
          </w:p>
        </w:tc>
        <w:tc>
          <w:tcPr>
            <w:tcW w:w="708" w:type="dxa"/>
            <w:vMerge/>
            <w:vAlign w:val="center"/>
            <w:hideMark/>
          </w:tcPr>
          <w:p w14:paraId="724921E7" w14:textId="77777777" w:rsidR="00645186" w:rsidRPr="00FB27E1" w:rsidRDefault="00645186">
            <w:pPr>
              <w:spacing w:before="0" w:after="0" w:line="240" w:lineRule="auto"/>
              <w:jc w:val="left"/>
              <w:rPr>
                <w:i/>
                <w:szCs w:val="22"/>
              </w:rPr>
            </w:pPr>
          </w:p>
        </w:tc>
      </w:tr>
      <w:tr w:rsidR="00645186" w14:paraId="519E3751" w14:textId="77777777" w:rsidTr="00645186">
        <w:tc>
          <w:tcPr>
            <w:tcW w:w="1276" w:type="dxa"/>
            <w:vMerge/>
            <w:vAlign w:val="center"/>
            <w:hideMark/>
          </w:tcPr>
          <w:p w14:paraId="644389E3" w14:textId="77777777" w:rsidR="00645186" w:rsidRDefault="00645186">
            <w:pPr>
              <w:spacing w:before="0" w:after="0" w:line="240" w:lineRule="auto"/>
              <w:jc w:val="left"/>
              <w:rPr>
                <w:i/>
                <w:szCs w:val="22"/>
              </w:rPr>
            </w:pPr>
          </w:p>
        </w:tc>
        <w:tc>
          <w:tcPr>
            <w:tcW w:w="326" w:type="dxa"/>
            <w:vMerge/>
            <w:vAlign w:val="center"/>
            <w:hideMark/>
          </w:tcPr>
          <w:p w14:paraId="0E0DB271" w14:textId="77777777" w:rsidR="00645186" w:rsidRDefault="00645186">
            <w:pPr>
              <w:spacing w:before="0" w:after="0" w:line="240" w:lineRule="auto"/>
              <w:jc w:val="left"/>
              <w:rPr>
                <w:i/>
                <w:szCs w:val="22"/>
              </w:rPr>
            </w:pPr>
          </w:p>
        </w:tc>
        <w:tc>
          <w:tcPr>
            <w:tcW w:w="5627" w:type="dxa"/>
            <w:hideMark/>
          </w:tcPr>
          <w:p w14:paraId="3E835EE2" w14:textId="77777777" w:rsidR="00645186"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 xml:space="preserve">nejvhodnější nabídka </w:t>
            </w:r>
          </w:p>
          <w:p w14:paraId="50DBE907" w14:textId="77777777" w:rsidR="00645186" w:rsidRDefault="00645186">
            <w:pPr>
              <w:pStyle w:val="Normlnzarovnatdobloku"/>
              <w:shd w:val="clear" w:color="auto" w:fill="auto"/>
              <w:tabs>
                <w:tab w:val="clear" w:pos="696"/>
                <w:tab w:val="left" w:pos="1659"/>
              </w:tabs>
              <w:spacing w:line="276" w:lineRule="auto"/>
              <w:ind w:left="1659"/>
              <w:rPr>
                <w:i/>
                <w:color w:val="auto"/>
                <w:spacing w:val="0"/>
                <w:sz w:val="22"/>
                <w:szCs w:val="22"/>
              </w:rPr>
            </w:pPr>
            <w:r>
              <w:rPr>
                <w:i/>
                <w:color w:val="auto"/>
                <w:spacing w:val="0"/>
                <w:sz w:val="22"/>
                <w:szCs w:val="22"/>
              </w:rPr>
              <w:t>(nejvyšší počet podpořených osob)</w:t>
            </w:r>
          </w:p>
        </w:tc>
        <w:tc>
          <w:tcPr>
            <w:tcW w:w="567" w:type="dxa"/>
            <w:vMerge/>
            <w:vAlign w:val="center"/>
            <w:hideMark/>
          </w:tcPr>
          <w:p w14:paraId="1F87A516" w14:textId="77777777" w:rsidR="00645186" w:rsidRDefault="00645186">
            <w:pPr>
              <w:spacing w:before="0" w:after="0" w:line="240" w:lineRule="auto"/>
              <w:jc w:val="left"/>
              <w:rPr>
                <w:i/>
                <w:szCs w:val="22"/>
              </w:rPr>
            </w:pPr>
          </w:p>
        </w:tc>
        <w:tc>
          <w:tcPr>
            <w:tcW w:w="708" w:type="dxa"/>
            <w:vMerge/>
            <w:vAlign w:val="center"/>
            <w:hideMark/>
          </w:tcPr>
          <w:p w14:paraId="31D4F3EA" w14:textId="77777777" w:rsidR="00645186" w:rsidRDefault="00645186">
            <w:pPr>
              <w:spacing w:before="0" w:after="0" w:line="240" w:lineRule="auto"/>
              <w:jc w:val="left"/>
              <w:rPr>
                <w:i/>
                <w:szCs w:val="22"/>
              </w:rPr>
            </w:pPr>
          </w:p>
        </w:tc>
      </w:tr>
    </w:tbl>
    <w:p w14:paraId="3DBCFA10" w14:textId="77777777" w:rsidR="00645186" w:rsidRDefault="00645186" w:rsidP="00645186">
      <w:pPr>
        <w:rPr>
          <w:rFonts w:cs="Arial"/>
          <w:szCs w:val="22"/>
        </w:rPr>
      </w:pPr>
    </w:p>
    <w:p w14:paraId="4C06B9CB" w14:textId="77777777" w:rsidR="00645186" w:rsidRPr="00F057C7" w:rsidRDefault="00645186" w:rsidP="00F057C7">
      <w:pPr>
        <w:pStyle w:val="Nadpis2"/>
        <w:keepNext w:val="0"/>
        <w:widowControl w:val="0"/>
        <w:numPr>
          <w:ilvl w:val="1"/>
          <w:numId w:val="15"/>
        </w:numPr>
        <w:spacing w:after="240"/>
        <w:ind w:left="357" w:hanging="357"/>
        <w:rPr>
          <w:rFonts w:cs="Times New Roman"/>
          <w:sz w:val="22"/>
          <w:szCs w:val="22"/>
          <w:lang w:val="x-none" w:eastAsia="en-US"/>
        </w:rPr>
      </w:pPr>
      <w:r w:rsidRPr="00F057C7">
        <w:rPr>
          <w:rFonts w:cs="Times New Roman"/>
          <w:sz w:val="22"/>
          <w:szCs w:val="22"/>
          <w:lang w:val="x-none" w:eastAsia="en-US"/>
        </w:rPr>
        <w:t>Celkové hodnocení</w:t>
      </w:r>
    </w:p>
    <w:p w14:paraId="39128B12" w14:textId="77777777" w:rsidR="00645186" w:rsidRDefault="00645186" w:rsidP="00645186">
      <w:pPr>
        <w:widowControl w:val="0"/>
        <w:rPr>
          <w:bCs/>
        </w:rPr>
      </w:pPr>
      <w:r>
        <w:rPr>
          <w:bCs/>
        </w:rPr>
        <w:t>Celkové hodnocení je součtem bodových hodnocení dílčích kritérií. Nejvýhodnější Nabídkou je ta, která získá nejvyšší celkový počet bodů.</w:t>
      </w:r>
    </w:p>
    <w:p w14:paraId="176E01B7" w14:textId="77777777" w:rsidR="00645186" w:rsidRDefault="00645186" w:rsidP="00645186">
      <w:pPr>
        <w:widowControl w:val="0"/>
      </w:pPr>
      <w:r>
        <w:t xml:space="preserve">Zadavatel neprovede hodnocení nabídek, pokud by měl hodnotit nabídku pouze jednoho Dodavatele. </w:t>
      </w:r>
    </w:p>
    <w:p w14:paraId="72448A97" w14:textId="77777777" w:rsidR="00645186" w:rsidRDefault="00645186" w:rsidP="00645186">
      <w:pPr>
        <w:widowControl w:val="0"/>
      </w:pPr>
      <w:r>
        <w:t>Zadavatel zpracuje zprávu o hodnocení nabídek, která tvoří součást oznámení o výběru Dodavatele ve smyslu § 123 ZZVZ.</w:t>
      </w:r>
    </w:p>
    <w:p w14:paraId="4A85BD23" w14:textId="77777777" w:rsidR="00645186" w:rsidRPr="00F057C7" w:rsidRDefault="00645186" w:rsidP="00F057C7">
      <w:pPr>
        <w:pStyle w:val="Nadpis1"/>
        <w:keepNext w:val="0"/>
        <w:widowControl w:val="0"/>
        <w:numPr>
          <w:ilvl w:val="0"/>
          <w:numId w:val="15"/>
        </w:numPr>
        <w:spacing w:after="240"/>
        <w:rPr>
          <w:rFonts w:cs="Times New Roman"/>
          <w:lang w:val="x-none" w:eastAsia="x-none"/>
        </w:rPr>
      </w:pPr>
      <w:bookmarkStart w:id="52" w:name="_Toc226714723"/>
      <w:bookmarkStart w:id="53" w:name="_Ref228509311"/>
      <w:bookmarkStart w:id="54" w:name="_Toc228539807"/>
      <w:bookmarkStart w:id="55" w:name="_Toc244682522"/>
      <w:bookmarkStart w:id="56" w:name="_Toc101358591"/>
      <w:r w:rsidRPr="00F057C7">
        <w:rPr>
          <w:rFonts w:cs="Times New Roman"/>
          <w:lang w:val="x-none" w:eastAsia="x-none"/>
        </w:rPr>
        <w:t>Obchodní a jiné smluvní podmínky</w:t>
      </w:r>
      <w:bookmarkEnd w:id="52"/>
      <w:bookmarkEnd w:id="53"/>
      <w:bookmarkEnd w:id="54"/>
      <w:bookmarkEnd w:id="55"/>
      <w:bookmarkEnd w:id="56"/>
      <w:r w:rsidRPr="00F057C7">
        <w:rPr>
          <w:rFonts w:cs="Times New Roman"/>
          <w:lang w:val="x-none" w:eastAsia="x-none"/>
        </w:rPr>
        <w:t xml:space="preserve"> </w:t>
      </w:r>
    </w:p>
    <w:p w14:paraId="07B5D257" w14:textId="77777777" w:rsidR="00645186" w:rsidRDefault="00645186" w:rsidP="00645186">
      <w:pPr>
        <w:widowControl w:val="0"/>
      </w:pPr>
      <w:r>
        <w:t>Obchodní a jiné smluvní podmínky ve smyslu § 37 odst. 1 písm. c) ZZVZ, které vymezují budoucí rámec smluvního vztahu mezi Zadavatelem a vybraným Dodavatelem, jsou podrobně zapracovány do závazného návrhu Smlouvy, který je nedílnou součástí této Zadávací dokumentace a tvoří její přílohu č. 1.</w:t>
      </w:r>
    </w:p>
    <w:p w14:paraId="65531949" w14:textId="77777777" w:rsidR="00645186" w:rsidRDefault="00645186" w:rsidP="00645186">
      <w:pPr>
        <w:widowControl w:val="0"/>
      </w:pPr>
      <w:r>
        <w:t xml:space="preserve">Dodavatel do návrhu Smlouvy doplní požadované údaje (zejména vlastní identifikaci, údaje vztahující se k nabídkové ceně a další údaje, které jsou v návrhu Smlouvy zvýrazněny). Takto doplněný závazný návrh Smlouvy předloží jako svůj návrh Smlouvy. </w:t>
      </w:r>
    </w:p>
    <w:p w14:paraId="3FFE02E0" w14:textId="77777777" w:rsidR="00645186" w:rsidRDefault="00645186" w:rsidP="00645186">
      <w:pPr>
        <w:widowControl w:val="0"/>
      </w:pPr>
      <w:r>
        <w:t>Dodavatel není oprávněn měnit či doplňovat text návrhu Smlouvy, s výjimkou údajů uvedených v předchozím odstavci. Jestliže Dodavatel změní části Smlouvy, které Zadavatel změnit neumožnil, případně uvede údaje, které jsou v rozporu s požadavky Zadavatele, bude Nabídka posouzena tak, že nesplňuje zadávací podmínky.</w:t>
      </w:r>
    </w:p>
    <w:p w14:paraId="0EC120CC" w14:textId="77777777" w:rsidR="00645186" w:rsidRPr="00F057C7" w:rsidRDefault="00645186" w:rsidP="00F057C7">
      <w:pPr>
        <w:pStyle w:val="Nadpis1"/>
        <w:keepNext w:val="0"/>
        <w:widowControl w:val="0"/>
        <w:numPr>
          <w:ilvl w:val="0"/>
          <w:numId w:val="15"/>
        </w:numPr>
        <w:spacing w:after="240"/>
        <w:rPr>
          <w:rFonts w:cs="Times New Roman"/>
          <w:lang w:val="x-none" w:eastAsia="x-none"/>
        </w:rPr>
      </w:pPr>
      <w:bookmarkStart w:id="57" w:name="_Toc101358592"/>
      <w:r w:rsidRPr="00F057C7">
        <w:rPr>
          <w:rFonts w:cs="Times New Roman"/>
          <w:lang w:val="x-none" w:eastAsia="x-none"/>
        </w:rPr>
        <w:lastRenderedPageBreak/>
        <w:t>Jednání o nabídkách</w:t>
      </w:r>
      <w:bookmarkEnd w:id="57"/>
    </w:p>
    <w:p w14:paraId="2213E849" w14:textId="77777777" w:rsidR="00645186" w:rsidRPr="00F057C7" w:rsidRDefault="00645186" w:rsidP="00F057C7">
      <w:pPr>
        <w:pStyle w:val="Nadpis2"/>
        <w:keepNext w:val="0"/>
        <w:widowControl w:val="0"/>
        <w:numPr>
          <w:ilvl w:val="1"/>
          <w:numId w:val="15"/>
        </w:numPr>
        <w:spacing w:after="240"/>
        <w:ind w:left="357" w:hanging="357"/>
        <w:rPr>
          <w:rFonts w:cs="Times New Roman"/>
          <w:sz w:val="22"/>
          <w:szCs w:val="22"/>
          <w:lang w:val="x-none" w:eastAsia="en-US"/>
        </w:rPr>
      </w:pPr>
      <w:r w:rsidRPr="00F057C7">
        <w:rPr>
          <w:rFonts w:cs="Times New Roman"/>
          <w:sz w:val="22"/>
          <w:szCs w:val="22"/>
          <w:lang w:val="x-none" w:eastAsia="en-US"/>
        </w:rPr>
        <w:t>Právo Zadavatele jednat o nabídkách</w:t>
      </w:r>
    </w:p>
    <w:p w14:paraId="70C2F881" w14:textId="77777777" w:rsidR="00645186" w:rsidRDefault="00645186" w:rsidP="00645186">
      <w:r>
        <w:t>Zadavatel si v souladu s § 129 odst. 7 ZZVZ vyhrazuje právo s Dodavateli jednat o nabídkách. Zadavatel však není povinen této možnosti využít.</w:t>
      </w:r>
    </w:p>
    <w:p w14:paraId="02C471B7" w14:textId="77777777" w:rsidR="00645186" w:rsidRDefault="00645186" w:rsidP="00645186">
      <w:r>
        <w:t xml:space="preserve">Pokud Zadavatel povede s Dodavateli jednání, budou vedena samostatně s každým z Dodavatelů, a to postupně v pořadí, v jakém Zadavatel obdržel nabídky. V každém kole jednání může s jedním Dodavatelem proběhnout nejvýše jedno jednání. Jednání budou konána výlučně </w:t>
      </w:r>
      <w:r>
        <w:rPr>
          <w:rStyle w:val="dn"/>
        </w:rPr>
        <w:t>distanční formou prostřednictvím elektronických prostředků na dálku</w:t>
      </w:r>
      <w:r>
        <w:t>. Zadavatel předpokládá pouze jedno kolo jednání s Dodavateli.</w:t>
      </w:r>
    </w:p>
    <w:p w14:paraId="454B2EE8" w14:textId="77777777" w:rsidR="00645186" w:rsidRPr="00F057C7" w:rsidRDefault="00645186" w:rsidP="00F057C7">
      <w:pPr>
        <w:pStyle w:val="Nadpis2"/>
        <w:keepNext w:val="0"/>
        <w:widowControl w:val="0"/>
        <w:numPr>
          <w:ilvl w:val="1"/>
          <w:numId w:val="15"/>
        </w:numPr>
        <w:spacing w:after="240"/>
        <w:ind w:left="357" w:hanging="357"/>
        <w:rPr>
          <w:rFonts w:cs="Times New Roman"/>
          <w:sz w:val="22"/>
          <w:szCs w:val="22"/>
          <w:lang w:val="x-none" w:eastAsia="en-US"/>
        </w:rPr>
      </w:pPr>
      <w:r w:rsidRPr="00F057C7">
        <w:rPr>
          <w:rFonts w:cs="Times New Roman"/>
          <w:sz w:val="22"/>
          <w:szCs w:val="22"/>
          <w:lang w:val="x-none" w:eastAsia="en-US"/>
        </w:rPr>
        <w:t>Pozvánka a průběh</w:t>
      </w:r>
    </w:p>
    <w:p w14:paraId="70534150" w14:textId="10ECC293" w:rsidR="00645186" w:rsidRDefault="00645186" w:rsidP="00645186">
      <w:r>
        <w:t xml:space="preserve">Jednání budou zahájena poté, co se Zadavatel seznámí s obsahem jednotlivých nabídek. Zadavatel odešle Dodavatelům pozvánku s uvedením přesného místa a termínu konání každého jednání, a to vždy alespoň 5 dní před termínem konání každého jednání. </w:t>
      </w:r>
      <w:r>
        <w:rPr>
          <w:b/>
        </w:rPr>
        <w:t xml:space="preserve">Pozvánka bude zaslána na e-mailovou adresu uvedenou v Krycím listu nabídky </w:t>
      </w:r>
      <w:r w:rsidR="00F057C7" w:rsidRPr="00C953F8">
        <w:rPr>
          <w:b/>
        </w:rPr>
        <w:t>Dodavatele</w:t>
      </w:r>
      <w:r w:rsidR="00F057C7" w:rsidRPr="00446C2D">
        <w:rPr>
          <w:bCs/>
        </w:rPr>
        <w:t>, popřípadě jinou Dodavatelem určenou e-mailovou adresu</w:t>
      </w:r>
      <w:r w:rsidR="00F057C7">
        <w:t>.</w:t>
      </w:r>
      <w:r w:rsidR="00F057C7" w:rsidRPr="004C7D7C">
        <w:t xml:space="preserve"> Jednání bude vedeno v českém jazyce.</w:t>
      </w:r>
      <w:r>
        <w:t xml:space="preserve"> </w:t>
      </w:r>
    </w:p>
    <w:p w14:paraId="44FD9266" w14:textId="77777777" w:rsidR="00645186" w:rsidRDefault="00645186" w:rsidP="00645186">
      <w:r>
        <w:t xml:space="preserve">Zadavatel bude jednat s Dodavateli o nabídkách s cílem zlepšit nabídky ve prospěch Zadavatele. Zadavatel je rovněž v rámci jednání oprávněn požadovat vysvětlení kterékoliv části nabídky, které Dodavatel poskytne buď ústně, nebo následně písemně v elektronické formě. O každém jednání Zadavatel pořídí pro své účely záznam, který na požádání poskytne příslušnému Dodavateli, který se účastní takového jednání. </w:t>
      </w:r>
    </w:p>
    <w:p w14:paraId="4EE6221A" w14:textId="77777777" w:rsidR="00645186" w:rsidRDefault="00645186" w:rsidP="00645186">
      <w:r>
        <w:t xml:space="preserve">Zadavatel bude v průběhu jednání poskytovat informace všem Dodavatelům nediskriminačním způsobem, tj. všechny obecné informace, které se netýkají pouze jednoho konkrétního Dodavatele a/nebo nejsou důvěrné povahy, poskytne bezodkladně, nejpozději však před zahájením dalšího kola jednání i ostatním Dodavatelům, a to písemnou elektronickou formou. </w:t>
      </w:r>
    </w:p>
    <w:p w14:paraId="6DB7317C"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r w:rsidRPr="00297252">
        <w:rPr>
          <w:rFonts w:cs="Times New Roman"/>
          <w:sz w:val="22"/>
          <w:szCs w:val="22"/>
          <w:lang w:val="x-none" w:eastAsia="en-US"/>
        </w:rPr>
        <w:t>Změna zadávacích podmínek a finální verze nabídky</w:t>
      </w:r>
    </w:p>
    <w:p w14:paraId="27F24D6C" w14:textId="77777777" w:rsidR="00645186" w:rsidRDefault="00645186" w:rsidP="00645186">
      <w:r>
        <w:t>Zadavatel může v průběhu jednání změnit nebo doplnit zadávací podmínky, a to v souladu s § 129 odst. 7 ZZVZ. O takové změně nebo doplnění zadávacích podmínek bude Zadavatel Dodavatele písemně elektronickou formou informovat a poskytne jim přiměřenou dobu pro úpravu nabídek.</w:t>
      </w:r>
    </w:p>
    <w:p w14:paraId="1590E6F4" w14:textId="77777777" w:rsidR="00645186" w:rsidRDefault="00645186" w:rsidP="00645186">
      <w:r>
        <w:t xml:space="preserve">Po skončení jednání Zadavatel vyzve Dodavatele k podání </w:t>
      </w:r>
      <w:r>
        <w:rPr>
          <w:b/>
        </w:rPr>
        <w:t xml:space="preserve">finální verze nabídky </w:t>
      </w:r>
      <w:r>
        <w:t xml:space="preserve">či </w:t>
      </w:r>
      <w:r>
        <w:rPr>
          <w:b/>
        </w:rPr>
        <w:t>k úpravě nabídky, a to rovněž elektronickou formou</w:t>
      </w:r>
      <w:r>
        <w:t>.</w:t>
      </w:r>
    </w:p>
    <w:p w14:paraId="72F8D363" w14:textId="77777777" w:rsidR="00645186" w:rsidRDefault="00645186" w:rsidP="00645186">
      <w:r>
        <w:t xml:space="preserve">Údaje uvedené ve finální verzi nabídky budou předmětem hodnocení. </w:t>
      </w:r>
    </w:p>
    <w:p w14:paraId="4ED2785F" w14:textId="77777777" w:rsidR="00645186" w:rsidRPr="00297252" w:rsidRDefault="00645186" w:rsidP="00297252">
      <w:pPr>
        <w:pStyle w:val="Nadpis1"/>
        <w:keepNext w:val="0"/>
        <w:widowControl w:val="0"/>
        <w:numPr>
          <w:ilvl w:val="0"/>
          <w:numId w:val="15"/>
        </w:numPr>
        <w:spacing w:after="240"/>
        <w:rPr>
          <w:rFonts w:cs="Times New Roman"/>
          <w:lang w:val="x-none" w:eastAsia="x-none"/>
        </w:rPr>
      </w:pPr>
      <w:bookmarkStart w:id="58" w:name="_Toc101358593"/>
      <w:r w:rsidRPr="00297252">
        <w:rPr>
          <w:rFonts w:cs="Times New Roman"/>
          <w:lang w:val="x-none" w:eastAsia="x-none"/>
        </w:rPr>
        <w:t>Komunikace mezi Zadavatelem a Dodavatelem</w:t>
      </w:r>
      <w:bookmarkEnd w:id="58"/>
    </w:p>
    <w:p w14:paraId="7B60B4A4" w14:textId="77777777" w:rsidR="00645186" w:rsidRDefault="00645186" w:rsidP="00645186">
      <w:pPr>
        <w:widowControl w:val="0"/>
      </w:pPr>
      <w:r>
        <w:t>Při komunikaci mezi Zadavatelem a Dodavateli nesmí být narušena důvěrnost nabídek a úplnost údajů v nich obsažených. Zadavateli nesmí být umožněn přístup k obsahu nabídek před uplynutím Lhůty.</w:t>
      </w:r>
    </w:p>
    <w:p w14:paraId="47FEF981" w14:textId="77777777" w:rsidR="00645186" w:rsidRDefault="00645186" w:rsidP="00645186">
      <w:pPr>
        <w:widowControl w:val="0"/>
      </w:pPr>
      <w:r>
        <w:t xml:space="preserve">Zadavatel stanoví, že pro právní čistotu zadávacího řízení musí být veškerá komunikace se Zadavatelem vedena pouze a výhradně písemnou formou, a to v elektronické formě. Jakýkoliv další způsob, např. osobní jednání, telefonická komunikace apod., je vyloučen, vyjma výslovně </w:t>
      </w:r>
      <w:r>
        <w:lastRenderedPageBreak/>
        <w:t>upraveného zákonného postupu. Veškeré úkony Zadavatele vůči Dodavatelům nebo úkony Dodavatelů vůči Zadavateli v zadávacím řízení musí mít písemnou formu a elektronickou podobu. Úkony vůči Zadavateli budou činěny směrem k Pověřené osobě uvedené v záhlaví Zadávací dokumentace.</w:t>
      </w:r>
    </w:p>
    <w:p w14:paraId="1BB6A282" w14:textId="77777777" w:rsidR="00645186" w:rsidRDefault="00645186" w:rsidP="00645186">
      <w:pPr>
        <w:widowControl w:val="0"/>
      </w:pPr>
      <w:r>
        <w:t>Při komunikaci uskutečňované prostřednictvím datové schránky je dokument doručen dodáním do datové schránky adresáta.</w:t>
      </w:r>
    </w:p>
    <w:p w14:paraId="48850422" w14:textId="77777777" w:rsidR="00645186" w:rsidRDefault="00645186" w:rsidP="00645186">
      <w:pPr>
        <w:widowControl w:val="0"/>
      </w:pPr>
      <w:r>
        <w:t>Podává-li nabídku více Dodavatelů společně, jsou povinni ve své nabídce uvést adresu pro doručování písemností Zadavatele. Odesláním písemnosti na tuto adresu se má za to, že ji Zadavatel odeslal všem účastníkům společné nabídky. Zadavatel má však právo odeslat písemnost i každému Dodavateli – účastníku společné nabídky samostatně.</w:t>
      </w:r>
      <w:bookmarkStart w:id="59" w:name="_Toc288567154"/>
      <w:bookmarkStart w:id="60" w:name="_Toc288567155"/>
      <w:bookmarkStart w:id="61" w:name="_Toc288567156"/>
      <w:bookmarkStart w:id="62" w:name="_Toc223418330"/>
      <w:bookmarkEnd w:id="59"/>
      <w:bookmarkEnd w:id="60"/>
      <w:bookmarkEnd w:id="61"/>
    </w:p>
    <w:p w14:paraId="31FC5AF4" w14:textId="77777777" w:rsidR="00645186" w:rsidRPr="00297252" w:rsidRDefault="00645186" w:rsidP="00297252">
      <w:pPr>
        <w:pStyle w:val="Nadpis1"/>
        <w:keepNext w:val="0"/>
        <w:widowControl w:val="0"/>
        <w:numPr>
          <w:ilvl w:val="0"/>
          <w:numId w:val="15"/>
        </w:numPr>
        <w:spacing w:after="240"/>
        <w:rPr>
          <w:rFonts w:cs="Times New Roman"/>
          <w:lang w:val="x-none" w:eastAsia="x-none"/>
        </w:rPr>
      </w:pPr>
      <w:bookmarkStart w:id="63" w:name="_Toc101358594"/>
      <w:r w:rsidRPr="00297252">
        <w:rPr>
          <w:rFonts w:cs="Times New Roman"/>
          <w:lang w:val="x-none" w:eastAsia="x-none"/>
        </w:rPr>
        <w:t>Ostatní</w:t>
      </w:r>
      <w:bookmarkEnd w:id="62"/>
      <w:bookmarkEnd w:id="63"/>
    </w:p>
    <w:p w14:paraId="393A0ADF"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bookmarkStart w:id="64" w:name="_Toc223418333"/>
      <w:r w:rsidRPr="00297252">
        <w:rPr>
          <w:rFonts w:cs="Times New Roman"/>
          <w:sz w:val="22"/>
          <w:szCs w:val="22"/>
          <w:lang w:val="x-none" w:eastAsia="en-US"/>
        </w:rPr>
        <w:t>Práva Zadavatele</w:t>
      </w:r>
      <w:bookmarkEnd w:id="64"/>
    </w:p>
    <w:p w14:paraId="02BFEAC0" w14:textId="77777777" w:rsidR="00645186" w:rsidRDefault="00645186" w:rsidP="00645186">
      <w:pPr>
        <w:widowControl w:val="0"/>
      </w:pPr>
      <w:r>
        <w:t>Zadavatel si dále vyhrazuje níže uvedená práva a podmínky:</w:t>
      </w:r>
    </w:p>
    <w:p w14:paraId="179D8425" w14:textId="77777777" w:rsidR="00645186" w:rsidRDefault="00645186" w:rsidP="00645186">
      <w:pPr>
        <w:widowControl w:val="0"/>
        <w:numPr>
          <w:ilvl w:val="0"/>
          <w:numId w:val="23"/>
        </w:numPr>
        <w:spacing w:before="0" w:after="0"/>
        <w:ind w:left="567" w:hanging="283"/>
        <w:rPr>
          <w:szCs w:val="22"/>
        </w:rPr>
      </w:pPr>
      <w:r>
        <w:rPr>
          <w:szCs w:val="22"/>
        </w:rPr>
        <w:t>s ohledem na povahu předmětu Veřejné zakázky Zadavatel nepřipouští možnost variantních nabídek dle § 102 ZZVZ;</w:t>
      </w:r>
    </w:p>
    <w:p w14:paraId="10E3425C" w14:textId="77777777" w:rsidR="00645186" w:rsidRDefault="00645186" w:rsidP="00645186">
      <w:pPr>
        <w:widowControl w:val="0"/>
        <w:numPr>
          <w:ilvl w:val="0"/>
          <w:numId w:val="23"/>
        </w:numPr>
        <w:spacing w:before="0" w:after="0"/>
        <w:ind w:left="567" w:hanging="283"/>
        <w:rPr>
          <w:szCs w:val="22"/>
        </w:rPr>
      </w:pPr>
      <w:r>
        <w:rPr>
          <w:szCs w:val="22"/>
        </w:rPr>
        <w:t>Dodavatel je povinen v nabídce určit části Veřejné zakázky, které případně hodlá plnit prostřednictvím poddodavatelů, a předložit seznam poddodavatelů, pokud jsou Dodavateli známi, a uvést, kterou část Veřejné zakázky bude každý z poddodavatelů plnit;</w:t>
      </w:r>
    </w:p>
    <w:p w14:paraId="79756F67" w14:textId="77777777" w:rsidR="00645186" w:rsidRDefault="00645186" w:rsidP="00645186">
      <w:pPr>
        <w:widowControl w:val="0"/>
        <w:numPr>
          <w:ilvl w:val="0"/>
          <w:numId w:val="23"/>
        </w:numPr>
        <w:spacing w:before="0" w:after="0"/>
        <w:ind w:left="567" w:hanging="283"/>
        <w:rPr>
          <w:szCs w:val="22"/>
        </w:rPr>
      </w:pPr>
      <w:r>
        <w:rPr>
          <w:szCs w:val="22"/>
        </w:rPr>
        <w:t>Zadavatel neposkytuje Dodavatelům v souvislosti s jejich účastí v zadávacím řízení žádné platby;</w:t>
      </w:r>
    </w:p>
    <w:p w14:paraId="293FB429" w14:textId="77777777" w:rsidR="00645186" w:rsidRDefault="00645186" w:rsidP="00645186">
      <w:pPr>
        <w:widowControl w:val="0"/>
        <w:numPr>
          <w:ilvl w:val="0"/>
          <w:numId w:val="23"/>
        </w:numPr>
        <w:spacing w:before="0" w:after="0"/>
        <w:ind w:left="567" w:hanging="283"/>
        <w:rPr>
          <w:szCs w:val="22"/>
        </w:rPr>
      </w:pPr>
      <w:r>
        <w:rPr>
          <w:szCs w:val="22"/>
        </w:rPr>
        <w:t>Zadavatel může provést posouzení splnění podmínek účasti v zadávacím řízení před hodnocením nabídek nebo až po hodnocení nabídek.</w:t>
      </w:r>
    </w:p>
    <w:p w14:paraId="0BEF588C"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r w:rsidRPr="00297252">
        <w:rPr>
          <w:rFonts w:cs="Times New Roman"/>
          <w:sz w:val="22"/>
          <w:szCs w:val="22"/>
          <w:lang w:val="x-none" w:eastAsia="en-US"/>
        </w:rPr>
        <w:t>Závaznost požadavků Zadavatele</w:t>
      </w:r>
    </w:p>
    <w:p w14:paraId="7824A98E" w14:textId="77777777" w:rsidR="00645186" w:rsidRDefault="00645186" w:rsidP="00645186">
      <w:pPr>
        <w:widowControl w:val="0"/>
        <w:spacing w:before="0" w:after="0"/>
      </w:pPr>
      <w:r>
        <w:t>Informace a údaje uvedené v jednotlivých částech Zadávací dokumentace vymezují závazné požadavky Zadavatele, pokud není výslovně stanoveno jinak. Tyto požadavky je každý Dodavatel povinen plně a bezvýhradně respektovat při zpracování nabídky. Neakceptování požadavků Zadavatele uvedených v této Zadávací dokumentaci bude považováno za nesplnění zadávacích podmínek a může vést k vyloučení Dodavatele ze zadávacího řízení.</w:t>
      </w:r>
    </w:p>
    <w:p w14:paraId="31899D5B"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bookmarkStart w:id="65" w:name="_Toc223418334"/>
      <w:r w:rsidRPr="00297252">
        <w:rPr>
          <w:rFonts w:cs="Times New Roman"/>
          <w:sz w:val="22"/>
          <w:szCs w:val="22"/>
          <w:lang w:val="x-none" w:eastAsia="en-US"/>
        </w:rPr>
        <w:t>Důvěrnost informací</w:t>
      </w:r>
      <w:bookmarkEnd w:id="65"/>
    </w:p>
    <w:p w14:paraId="07666DC6" w14:textId="77777777" w:rsidR="00645186" w:rsidRDefault="00645186" w:rsidP="00645186">
      <w:pPr>
        <w:widowControl w:val="0"/>
      </w:pPr>
      <w:r>
        <w:t>Dodavatel je povinen zacházet se všemi informacemi, které mu budou poskytnuty v průběhu zadávacího řízení, jako s důvěrnými (s výjimkou informací, které byly veřejně publikované). Dodavatel je povinen zdržet se jakýchkoliv jednání, která by mohla narušit transparentní a nediskriminační průběh zadávacího řízení, zejména pak jednání, v jejichž důsledku by mohlo dojít k narušení soutěže mezi Dodavateli v rámci zadání Veřejné zakázky.</w:t>
      </w:r>
    </w:p>
    <w:p w14:paraId="7F8E03DE" w14:textId="77777777" w:rsidR="00645186" w:rsidRDefault="00645186" w:rsidP="00645186">
      <w:pPr>
        <w:widowControl w:val="0"/>
      </w:pPr>
      <w:r>
        <w:t>Jestliže si strany při jednání o uzavření Smlouvy navzájem poskytnou informace označené jako důvěrné, nesmí je strana, které byly tyto informace poskytnuty, prozradit třetí osobě a ani je použít v rozporu s jejich účelem pro své potřeby, a to bez ohledu na to, zda dojde k uzavření Smlouvy či nikoli. Kdo poruší tuto povinnost, je povinen k náhradě škody, obdobně podle § 2913 zákona č. 89/2012 Sb., občanský zákoník, v platném a účinném znění.</w:t>
      </w:r>
    </w:p>
    <w:p w14:paraId="06374BAC"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bookmarkStart w:id="66" w:name="_Toc223418335"/>
      <w:r w:rsidRPr="00297252">
        <w:rPr>
          <w:rFonts w:cs="Times New Roman"/>
          <w:sz w:val="22"/>
          <w:szCs w:val="22"/>
          <w:lang w:val="x-none" w:eastAsia="en-US"/>
        </w:rPr>
        <w:lastRenderedPageBreak/>
        <w:t>Prohlídka místa plnění</w:t>
      </w:r>
      <w:bookmarkEnd w:id="66"/>
      <w:r w:rsidRPr="00297252">
        <w:rPr>
          <w:rFonts w:cs="Times New Roman"/>
          <w:sz w:val="22"/>
          <w:szCs w:val="22"/>
          <w:lang w:val="x-none" w:eastAsia="en-US"/>
        </w:rPr>
        <w:t xml:space="preserve"> </w:t>
      </w:r>
    </w:p>
    <w:p w14:paraId="125EA7E1" w14:textId="77777777" w:rsidR="00645186" w:rsidRDefault="00645186" w:rsidP="00645186">
      <w:pPr>
        <w:widowControl w:val="0"/>
        <w:spacing w:before="0"/>
        <w:rPr>
          <w:szCs w:val="22"/>
        </w:rPr>
      </w:pPr>
      <w:r>
        <w:rPr>
          <w:szCs w:val="22"/>
        </w:rPr>
        <w:t>Zadavatel neumožňuje prohlídku místa plnění.</w:t>
      </w:r>
    </w:p>
    <w:p w14:paraId="545B2486"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bookmarkStart w:id="67" w:name="_Toc223418336"/>
      <w:r w:rsidRPr="00297252">
        <w:rPr>
          <w:rFonts w:cs="Times New Roman"/>
          <w:sz w:val="22"/>
          <w:szCs w:val="22"/>
          <w:lang w:val="x-none" w:eastAsia="en-US"/>
        </w:rPr>
        <w:t>Zadávací lhůta</w:t>
      </w:r>
      <w:bookmarkEnd w:id="67"/>
    </w:p>
    <w:p w14:paraId="479514F3" w14:textId="77777777" w:rsidR="00645186" w:rsidRDefault="00645186" w:rsidP="00645186">
      <w:pPr>
        <w:widowControl w:val="0"/>
        <w:spacing w:before="0" w:after="0"/>
        <w:rPr>
          <w:rFonts w:cs="Calibri"/>
          <w:szCs w:val="22"/>
        </w:rPr>
      </w:pPr>
      <w:r>
        <w:rPr>
          <w:rFonts w:cs="Calibri"/>
          <w:szCs w:val="22"/>
        </w:rPr>
        <w:t>Zadavatel nestanoví zadávací lhůtu ve smyslu § 40 ZZVZ.</w:t>
      </w:r>
    </w:p>
    <w:p w14:paraId="3D519A2D"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bookmarkStart w:id="68" w:name="_Toc233442054"/>
      <w:r w:rsidRPr="00297252">
        <w:rPr>
          <w:rFonts w:cs="Times New Roman"/>
          <w:sz w:val="22"/>
          <w:szCs w:val="22"/>
          <w:lang w:val="x-none" w:eastAsia="en-US"/>
        </w:rPr>
        <w:t>Jistota</w:t>
      </w:r>
      <w:bookmarkEnd w:id="68"/>
      <w:r w:rsidRPr="00297252">
        <w:rPr>
          <w:rFonts w:cs="Times New Roman"/>
          <w:sz w:val="22"/>
          <w:szCs w:val="22"/>
          <w:lang w:val="x-none" w:eastAsia="en-US"/>
        </w:rPr>
        <w:t xml:space="preserve"> </w:t>
      </w:r>
    </w:p>
    <w:p w14:paraId="7E947966" w14:textId="77777777" w:rsidR="00645186" w:rsidRDefault="00645186" w:rsidP="00645186">
      <w:pPr>
        <w:widowControl w:val="0"/>
        <w:spacing w:before="0" w:after="0"/>
        <w:rPr>
          <w:rFonts w:cs="Calibri"/>
        </w:rPr>
      </w:pPr>
      <w:r>
        <w:rPr>
          <w:rFonts w:cs="Calibri"/>
        </w:rPr>
        <w:t>Zadavatel nepožaduje jistotu.</w:t>
      </w:r>
    </w:p>
    <w:p w14:paraId="21024215" w14:textId="77777777" w:rsidR="00645186" w:rsidRPr="00297252" w:rsidRDefault="00645186" w:rsidP="00297252">
      <w:pPr>
        <w:pStyle w:val="Nadpis2"/>
        <w:keepNext w:val="0"/>
        <w:widowControl w:val="0"/>
        <w:numPr>
          <w:ilvl w:val="1"/>
          <w:numId w:val="15"/>
        </w:numPr>
        <w:spacing w:after="240"/>
        <w:ind w:left="357" w:hanging="357"/>
        <w:rPr>
          <w:rFonts w:cs="Times New Roman"/>
          <w:sz w:val="22"/>
          <w:szCs w:val="22"/>
          <w:lang w:val="x-none" w:eastAsia="en-US"/>
        </w:rPr>
      </w:pPr>
      <w:r w:rsidRPr="00297252">
        <w:rPr>
          <w:rFonts w:cs="Times New Roman"/>
          <w:sz w:val="22"/>
          <w:szCs w:val="22"/>
          <w:lang w:val="x-none" w:eastAsia="en-US"/>
        </w:rPr>
        <w:t>Zpracování zadávacích podmínek</w:t>
      </w:r>
    </w:p>
    <w:p w14:paraId="6EADD533" w14:textId="77777777" w:rsidR="00645186" w:rsidRDefault="00645186" w:rsidP="00645186">
      <w:pPr>
        <w:rPr>
          <w:rFonts w:eastAsia="Calibri" w:cs="Calibri"/>
          <w:szCs w:val="22"/>
        </w:rPr>
      </w:pPr>
      <w:r>
        <w:rPr>
          <w:rFonts w:eastAsia="Calibri" w:cs="Calibri"/>
          <w:szCs w:val="22"/>
        </w:rPr>
        <w:t>Na zpracování zadávacích podmínek se nepodílela žádná osoba odlišná od Zadavatele.</w:t>
      </w:r>
    </w:p>
    <w:p w14:paraId="1DD900DD" w14:textId="77777777" w:rsidR="00645186" w:rsidRDefault="00645186" w:rsidP="00645186">
      <w:pPr>
        <w:rPr>
          <w:rFonts w:eastAsia="Calibri" w:cs="Calibri"/>
          <w:szCs w:val="22"/>
        </w:rPr>
      </w:pPr>
      <w:r>
        <w:t xml:space="preserve">Zadávací dokumentace neobsahuje informace, které by byly výsledkem předběžné tržní konzultace ve smyslu § 33 ZZVZ. </w:t>
      </w:r>
    </w:p>
    <w:p w14:paraId="2902D12A" w14:textId="77777777" w:rsidR="00645186" w:rsidRDefault="00645186" w:rsidP="00645186">
      <w:pPr>
        <w:widowControl w:val="0"/>
        <w:rPr>
          <w:lang w:eastAsia="x-none"/>
        </w:rPr>
      </w:pPr>
    </w:p>
    <w:p w14:paraId="6C1EF88B" w14:textId="77777777" w:rsidR="00645186" w:rsidRDefault="00645186" w:rsidP="00645186">
      <w:pPr>
        <w:widowControl w:val="0"/>
        <w:spacing w:before="0" w:after="0"/>
        <w:rPr>
          <w:rFonts w:cs="Calibri"/>
          <w:i/>
          <w:szCs w:val="22"/>
          <w:u w:val="single"/>
        </w:rPr>
      </w:pPr>
      <w:r>
        <w:rPr>
          <w:rFonts w:cs="Calibri"/>
          <w:i/>
          <w:szCs w:val="22"/>
          <w:u w:val="single"/>
        </w:rPr>
        <w:t>Přílohy:</w:t>
      </w:r>
    </w:p>
    <w:p w14:paraId="7B31E6DA" w14:textId="77777777" w:rsidR="00645186" w:rsidRDefault="00645186" w:rsidP="00645186">
      <w:pPr>
        <w:widowControl w:val="0"/>
        <w:spacing w:before="0" w:after="0"/>
        <w:rPr>
          <w:rFonts w:cs="Calibri"/>
          <w:i/>
          <w:szCs w:val="22"/>
        </w:rPr>
      </w:pPr>
      <w:r>
        <w:rPr>
          <w:rFonts w:cs="Calibri"/>
          <w:i/>
          <w:szCs w:val="22"/>
        </w:rPr>
        <w:t xml:space="preserve">Příloha č. 1 – Závazný návrh rámcové smlouvy o zajištění sociální služby </w:t>
      </w:r>
    </w:p>
    <w:p w14:paraId="44722ADD" w14:textId="77777777" w:rsidR="00645186" w:rsidRDefault="00645186" w:rsidP="00645186">
      <w:pPr>
        <w:widowControl w:val="0"/>
        <w:spacing w:before="0" w:after="0"/>
        <w:rPr>
          <w:rFonts w:cs="Calibri"/>
          <w:i/>
          <w:szCs w:val="22"/>
        </w:rPr>
      </w:pPr>
      <w:r>
        <w:rPr>
          <w:rFonts w:cs="Calibri"/>
          <w:i/>
          <w:szCs w:val="22"/>
        </w:rPr>
        <w:t xml:space="preserve">Příloha č. 2 – </w:t>
      </w:r>
      <w:r>
        <w:rPr>
          <w:i/>
          <w:szCs w:val="22"/>
        </w:rPr>
        <w:t>Vzorové čestné prohlášení</w:t>
      </w:r>
      <w:r>
        <w:rPr>
          <w:rFonts w:cs="Calibri"/>
          <w:i/>
          <w:szCs w:val="22"/>
        </w:rPr>
        <w:t>;</w:t>
      </w:r>
    </w:p>
    <w:p w14:paraId="6AE328E3" w14:textId="77777777" w:rsidR="00645186" w:rsidRDefault="00645186" w:rsidP="00645186">
      <w:pPr>
        <w:widowControl w:val="0"/>
        <w:spacing w:before="0" w:after="0"/>
        <w:rPr>
          <w:rFonts w:cs="Calibri"/>
          <w:i/>
          <w:szCs w:val="22"/>
        </w:rPr>
      </w:pPr>
      <w:r>
        <w:rPr>
          <w:rFonts w:cs="Calibri"/>
          <w:i/>
          <w:szCs w:val="22"/>
        </w:rPr>
        <w:t>Příloha č. 3 – Krycí list nabídky</w:t>
      </w:r>
    </w:p>
    <w:p w14:paraId="27A48D0B" w14:textId="77777777" w:rsidR="00645186" w:rsidRDefault="00645186" w:rsidP="00645186">
      <w:pPr>
        <w:widowControl w:val="0"/>
        <w:spacing w:before="0" w:after="0"/>
        <w:rPr>
          <w:rFonts w:cs="Calibri"/>
          <w:i/>
          <w:szCs w:val="22"/>
        </w:rPr>
      </w:pPr>
      <w:r>
        <w:rPr>
          <w:rFonts w:cs="Calibri"/>
          <w:i/>
          <w:szCs w:val="22"/>
        </w:rPr>
        <w:t>Příloha č. 4 – Kalkulace nabídkové ceny</w:t>
      </w:r>
    </w:p>
    <w:p w14:paraId="6EC3AD25" w14:textId="77777777" w:rsidR="00645186" w:rsidRDefault="00645186" w:rsidP="00645186">
      <w:pPr>
        <w:widowControl w:val="0"/>
        <w:rPr>
          <w:rFonts w:cs="Calibri"/>
          <w:szCs w:val="22"/>
        </w:rPr>
      </w:pPr>
    </w:p>
    <w:p w14:paraId="63D64F96" w14:textId="757BD922" w:rsidR="00645186" w:rsidRDefault="00645186" w:rsidP="00645186">
      <w:pPr>
        <w:widowControl w:val="0"/>
        <w:rPr>
          <w:rFonts w:cs="Calibri"/>
          <w:szCs w:val="22"/>
        </w:rPr>
      </w:pPr>
      <w:r>
        <w:rPr>
          <w:rFonts w:cs="Calibri"/>
          <w:szCs w:val="22"/>
        </w:rPr>
        <w:t xml:space="preserve">V Hradci Králové </w:t>
      </w:r>
      <w:r w:rsidRPr="00586EC3">
        <w:rPr>
          <w:rFonts w:cs="Calibri"/>
          <w:szCs w:val="22"/>
        </w:rPr>
        <w:t xml:space="preserve">dne </w:t>
      </w:r>
      <w:r w:rsidR="00586EC3" w:rsidRPr="00586EC3">
        <w:rPr>
          <w:rFonts w:cs="Calibri"/>
          <w:szCs w:val="22"/>
        </w:rPr>
        <w:t>20</w:t>
      </w:r>
      <w:r w:rsidRPr="00586EC3">
        <w:rPr>
          <w:rFonts w:cs="Calibri"/>
          <w:szCs w:val="22"/>
        </w:rPr>
        <w:t xml:space="preserve">. </w:t>
      </w:r>
      <w:r w:rsidR="00297252" w:rsidRPr="00586EC3">
        <w:rPr>
          <w:rFonts w:cs="Calibri"/>
          <w:szCs w:val="22"/>
        </w:rPr>
        <w:t>6</w:t>
      </w:r>
      <w:r w:rsidRPr="00586EC3">
        <w:rPr>
          <w:rFonts w:cs="Calibri"/>
          <w:szCs w:val="22"/>
        </w:rPr>
        <w:t>. 2022</w:t>
      </w:r>
    </w:p>
    <w:p w14:paraId="2FB8241B" w14:textId="77777777" w:rsidR="00645186" w:rsidRDefault="00645186" w:rsidP="00645186">
      <w:pPr>
        <w:widowControl w:val="0"/>
        <w:rPr>
          <w:rFonts w:cs="Calibri"/>
          <w:szCs w:val="22"/>
        </w:rPr>
      </w:pPr>
    </w:p>
    <w:p w14:paraId="464DE7E4" w14:textId="77777777" w:rsidR="00645186" w:rsidRDefault="00645186" w:rsidP="00645186">
      <w:pPr>
        <w:widowControl w:val="0"/>
        <w:rPr>
          <w:rFonts w:cs="Calibri"/>
          <w:szCs w:val="22"/>
        </w:rPr>
      </w:pPr>
    </w:p>
    <w:p w14:paraId="35C5E5A1" w14:textId="77777777" w:rsidR="00645186" w:rsidRDefault="00645186" w:rsidP="00645186">
      <w:pPr>
        <w:widowControl w:val="0"/>
        <w:rPr>
          <w:rFonts w:cs="Calibri"/>
          <w:szCs w:val="22"/>
        </w:rPr>
      </w:pPr>
      <w:r>
        <w:rPr>
          <w:rFonts w:cs="Calibri"/>
          <w:szCs w:val="22"/>
        </w:rPr>
        <w:t>Mgr. Martin Červíček, hejtman</w:t>
      </w:r>
    </w:p>
    <w:p w14:paraId="04071620" w14:textId="77777777" w:rsidR="00645186" w:rsidRDefault="00645186" w:rsidP="00645186">
      <w:pPr>
        <w:widowControl w:val="0"/>
        <w:rPr>
          <w:rFonts w:cs="Calibri"/>
          <w:szCs w:val="22"/>
        </w:rPr>
      </w:pPr>
      <w:r>
        <w:rPr>
          <w:rFonts w:cs="Calibri"/>
          <w:szCs w:val="22"/>
        </w:rPr>
        <w:t>Královéhradecký kraj</w:t>
      </w:r>
    </w:p>
    <w:p w14:paraId="0873143D" w14:textId="77777777" w:rsidR="00A019CD" w:rsidRPr="00E646B4" w:rsidRDefault="00A019CD" w:rsidP="007A1C5F"/>
    <w:sectPr w:rsidR="00A019CD" w:rsidRPr="00E646B4" w:rsidSect="00104434">
      <w:footerReference w:type="even" r:id="rId27"/>
      <w:footerReference w:type="default" r:id="rId28"/>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56DC" w14:textId="77777777" w:rsidR="00645186" w:rsidRDefault="00645186">
      <w:r>
        <w:separator/>
      </w:r>
    </w:p>
  </w:endnote>
  <w:endnote w:type="continuationSeparator" w:id="0">
    <w:p w14:paraId="79CFD8DB" w14:textId="77777777" w:rsidR="00645186" w:rsidRDefault="0064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25D6" w14:textId="77777777" w:rsidR="00205037" w:rsidRDefault="00205037" w:rsidP="004E7AC5">
    <w:pPr>
      <w:pStyle w:val="Zpat"/>
      <w:framePr w:wrap="around" w:vAnchor="text" w:hAnchor="margin" w:xAlign="right" w:y="1"/>
    </w:pPr>
    <w:r>
      <w:fldChar w:fldCharType="begin"/>
    </w:r>
    <w:r>
      <w:instrText xml:space="preserve">PAGE  </w:instrText>
    </w:r>
    <w:r>
      <w:fldChar w:fldCharType="end"/>
    </w:r>
  </w:p>
  <w:p w14:paraId="02AB28A9" w14:textId="77777777" w:rsidR="00205037" w:rsidRDefault="00205037"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8A2" w14:textId="77777777" w:rsidR="00205037" w:rsidRDefault="00205037" w:rsidP="00841BD3">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21146D13" w14:textId="77777777" w:rsidR="00205037" w:rsidRDefault="00205037"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12B8" w14:textId="77777777" w:rsidR="00645186" w:rsidRDefault="00645186">
      <w:r>
        <w:separator/>
      </w:r>
    </w:p>
  </w:footnote>
  <w:footnote w:type="continuationSeparator" w:id="0">
    <w:p w14:paraId="16EF5DDE" w14:textId="77777777" w:rsidR="00645186" w:rsidRDefault="00645186">
      <w:r>
        <w:continuationSeparator/>
      </w:r>
    </w:p>
  </w:footnote>
  <w:footnote w:id="1">
    <w:p w14:paraId="2721B7C8" w14:textId="77777777" w:rsidR="00645186" w:rsidRDefault="00645186" w:rsidP="00645186">
      <w:pPr>
        <w:pStyle w:val="Textpoznpodarou"/>
      </w:pPr>
      <w:r>
        <w:rPr>
          <w:rStyle w:val="Znakapoznpodarou"/>
        </w:rPr>
        <w:footnoteRef/>
      </w:r>
      <w:r>
        <w:t xml:space="preserve"> Např. Výpis z Rejstříku evidovaných právnických osob, výpis ze spolkového rejstříku či rejstříku ústavů apod.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C584901"/>
    <w:multiLevelType w:val="hybridMultilevel"/>
    <w:tmpl w:val="41C80FA0"/>
    <w:lvl w:ilvl="0" w:tplc="C05AE4D0">
      <w:start w:val="1"/>
      <w:numFmt w:val="lowerRoman"/>
      <w:lvlText w:val="%1)"/>
      <w:lvlJc w:val="left"/>
      <w:pPr>
        <w:tabs>
          <w:tab w:val="num" w:pos="927"/>
        </w:tabs>
        <w:ind w:left="850" w:hanging="283"/>
      </w:pPr>
      <w:rPr>
        <w:rFonts w:ascii="Times New Roman" w:eastAsia="Times New Roman" w:hAnsi="Times New Roman" w:cs="Times New Roman"/>
      </w:r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2" w15:restartNumberingAfterBreak="0">
    <w:nsid w:val="0E3E24C2"/>
    <w:multiLevelType w:val="hybridMultilevel"/>
    <w:tmpl w:val="52A61ACC"/>
    <w:lvl w:ilvl="0" w:tplc="9A4CE8FC">
      <w:start w:val="1"/>
      <w:numFmt w:val="lowerLetter"/>
      <w:lvlText w:val="%1)"/>
      <w:lvlJc w:val="left"/>
      <w:pPr>
        <w:tabs>
          <w:tab w:val="num" w:pos="360"/>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47A17"/>
    <w:multiLevelType w:val="hybridMultilevel"/>
    <w:tmpl w:val="46E0678C"/>
    <w:lvl w:ilvl="0" w:tplc="D1B6B0FA">
      <w:start w:val="1"/>
      <w:numFmt w:val="decimal"/>
      <w:lvlText w:val="%1)"/>
      <w:lvlJc w:val="left"/>
      <w:pPr>
        <w:tabs>
          <w:tab w:val="num" w:pos="644"/>
        </w:tabs>
        <w:ind w:left="568"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5" w15:restartNumberingAfterBreak="0">
    <w:nsid w:val="15755877"/>
    <w:multiLevelType w:val="hybridMultilevel"/>
    <w:tmpl w:val="78723F06"/>
    <w:lvl w:ilvl="0" w:tplc="3B580920">
      <w:start w:val="1"/>
      <w:numFmt w:val="lowerLetter"/>
      <w:lvlText w:val="%1)"/>
      <w:lvlJc w:val="left"/>
      <w:pPr>
        <w:tabs>
          <w:tab w:val="num" w:pos="720"/>
        </w:tabs>
        <w:ind w:left="720" w:hanging="360"/>
      </w:pPr>
      <w:rPr>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D5B66"/>
    <w:multiLevelType w:val="hybridMultilevel"/>
    <w:tmpl w:val="DAA489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32214"/>
    <w:multiLevelType w:val="hybridMultilevel"/>
    <w:tmpl w:val="127684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66A2D24"/>
    <w:multiLevelType w:val="hybridMultilevel"/>
    <w:tmpl w:val="F61E8ECE"/>
    <w:lvl w:ilvl="0" w:tplc="9C4CB264">
      <w:start w:val="1"/>
      <w:numFmt w:val="lowerLetter"/>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0DD1596"/>
    <w:multiLevelType w:val="multilevel"/>
    <w:tmpl w:val="E528D9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142296"/>
    <w:multiLevelType w:val="hybridMultilevel"/>
    <w:tmpl w:val="06A2F05A"/>
    <w:lvl w:ilvl="0" w:tplc="52142400">
      <w:start w:val="1"/>
      <w:numFmt w:val="decimal"/>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404F79"/>
    <w:multiLevelType w:val="hybridMultilevel"/>
    <w:tmpl w:val="6C068C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F8E420F"/>
    <w:multiLevelType w:val="hybridMultilevel"/>
    <w:tmpl w:val="D2FE1880"/>
    <w:lvl w:ilvl="0" w:tplc="C52CD074">
      <w:start w:val="1"/>
      <w:numFmt w:val="decimal"/>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575228E"/>
    <w:multiLevelType w:val="hybridMultilevel"/>
    <w:tmpl w:val="127684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897716F"/>
    <w:multiLevelType w:val="multilevel"/>
    <w:tmpl w:val="AC48BEEA"/>
    <w:lvl w:ilvl="0">
      <w:start w:val="1"/>
      <w:numFmt w:val="decimal"/>
      <w:lvlText w:val="%1."/>
      <w:lvlJc w:val="left"/>
      <w:pPr>
        <w:tabs>
          <w:tab w:val="num" w:pos="1844"/>
        </w:tabs>
        <w:ind w:left="1844" w:hanging="1134"/>
      </w:pPr>
      <w:rPr>
        <w:rFonts w:hint="default"/>
      </w:rPr>
    </w:lvl>
    <w:lvl w:ilvl="1">
      <w:start w:val="1"/>
      <w:numFmt w:val="decimal"/>
      <w:lvlText w:val="%1.%2."/>
      <w:lvlJc w:val="left"/>
      <w:pPr>
        <w:tabs>
          <w:tab w:val="num" w:pos="1844"/>
        </w:tabs>
        <w:ind w:left="184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7"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C0A32D3"/>
    <w:multiLevelType w:val="multilevel"/>
    <w:tmpl w:val="28B4D83E"/>
    <w:lvl w:ilvl="0">
      <w:start w:val="1"/>
      <w:numFmt w:val="bullet"/>
      <w:lvlText w:val=""/>
      <w:lvlJc w:val="left"/>
      <w:pPr>
        <w:tabs>
          <w:tab w:val="num" w:pos="397"/>
        </w:tabs>
        <w:ind w:left="397" w:hanging="397"/>
      </w:pPr>
      <w:rPr>
        <w:rFonts w:ascii="Symbol" w:hAnsi="Symbol" w:hint="default"/>
        <w:b w:val="0"/>
      </w:rPr>
    </w:lvl>
    <w:lvl w:ilvl="1">
      <w:start w:val="1"/>
      <w:numFmt w:val="lowerRoman"/>
      <w:lvlText w:val="(%2)"/>
      <w:lvlJc w:val="left"/>
      <w:pPr>
        <w:tabs>
          <w:tab w:val="num" w:pos="794"/>
        </w:tabs>
        <w:ind w:left="794" w:hanging="397"/>
      </w:pPr>
      <w:rPr>
        <w:rFonts w:ascii="Calibri" w:hAnsi="Calibri"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Letter"/>
      <w:lvlText w:val="%3)"/>
      <w:lvlJc w:val="left"/>
      <w:pPr>
        <w:tabs>
          <w:tab w:val="num" w:pos="1220"/>
        </w:tabs>
        <w:ind w:left="1220" w:hanging="5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6E6094"/>
    <w:multiLevelType w:val="multilevel"/>
    <w:tmpl w:val="E528D98C"/>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ED357AD"/>
    <w:multiLevelType w:val="multilevel"/>
    <w:tmpl w:val="3958570C"/>
    <w:lvl w:ilvl="0">
      <w:start w:val="1"/>
      <w:numFmt w:val="decimal"/>
      <w:lvlText w:val="%1."/>
      <w:lvlJc w:val="left"/>
      <w:pPr>
        <w:ind w:left="360" w:hanging="360"/>
      </w:pPr>
      <w:rPr>
        <w:rFonts w:cs="Times New Roman"/>
      </w:rPr>
    </w:lvl>
    <w:lvl w:ilvl="1">
      <w:start w:val="1"/>
      <w:numFmt w:val="decimal"/>
      <w:lvlText w:val="%1.%2"/>
      <w:lvlJc w:val="left"/>
      <w:pPr>
        <w:ind w:left="860" w:hanging="860"/>
      </w:pPr>
      <w:rPr>
        <w:lang w:val="cs-CZ"/>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BB10D3F"/>
    <w:multiLevelType w:val="hybridMultilevel"/>
    <w:tmpl w:val="127684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31006627">
    <w:abstractNumId w:val="0"/>
  </w:num>
  <w:num w:numId="2" w16cid:durableId="1016614934">
    <w:abstractNumId w:val="2"/>
  </w:num>
  <w:num w:numId="3" w16cid:durableId="1511869114">
    <w:abstractNumId w:val="1"/>
  </w:num>
  <w:num w:numId="4" w16cid:durableId="1289241143">
    <w:abstractNumId w:val="9"/>
  </w:num>
  <w:num w:numId="5" w16cid:durableId="2022781843">
    <w:abstractNumId w:val="12"/>
  </w:num>
  <w:num w:numId="6" w16cid:durableId="1988586470">
    <w:abstractNumId w:val="3"/>
  </w:num>
  <w:num w:numId="7" w16cid:durableId="152377313">
    <w:abstractNumId w:val="14"/>
  </w:num>
  <w:num w:numId="8" w16cid:durableId="1513102181">
    <w:abstractNumId w:val="10"/>
  </w:num>
  <w:num w:numId="9" w16cid:durableId="1459950702">
    <w:abstractNumId w:val="7"/>
  </w:num>
  <w:num w:numId="10" w16cid:durableId="251400762">
    <w:abstractNumId w:val="4"/>
  </w:num>
  <w:num w:numId="11" w16cid:durableId="770202310">
    <w:abstractNumId w:val="16"/>
  </w:num>
  <w:num w:numId="12" w16cid:durableId="1890605050">
    <w:abstractNumId w:val="17"/>
  </w:num>
  <w:num w:numId="13" w16cid:durableId="89930548">
    <w:abstractNumId w:val="19"/>
  </w:num>
  <w:num w:numId="14" w16cid:durableId="1266377498">
    <w:abstractNumId w:val="11"/>
  </w:num>
  <w:num w:numId="15" w16cid:durableId="17677316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2746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0665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839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437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9959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7160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329991">
    <w:abstractNumId w:val="5"/>
    <w:lvlOverride w:ilvl="0">
      <w:startOverride w:val="1"/>
    </w:lvlOverride>
    <w:lvlOverride w:ilvl="1"/>
    <w:lvlOverride w:ilvl="2"/>
    <w:lvlOverride w:ilvl="3"/>
    <w:lvlOverride w:ilvl="4"/>
    <w:lvlOverride w:ilvl="5"/>
    <w:lvlOverride w:ilvl="6"/>
    <w:lvlOverride w:ilvl="7"/>
    <w:lvlOverride w:ilvl="8"/>
  </w:num>
  <w:num w:numId="23" w16cid:durableId="1417095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6"/>
    <w:rsid w:val="00001C5F"/>
    <w:rsid w:val="00005658"/>
    <w:rsid w:val="00011D73"/>
    <w:rsid w:val="000378CD"/>
    <w:rsid w:val="000403EA"/>
    <w:rsid w:val="000616F8"/>
    <w:rsid w:val="000656C4"/>
    <w:rsid w:val="00085432"/>
    <w:rsid w:val="000957B6"/>
    <w:rsid w:val="00096A66"/>
    <w:rsid w:val="000B4EF9"/>
    <w:rsid w:val="000E3E63"/>
    <w:rsid w:val="000F11EE"/>
    <w:rsid w:val="00104434"/>
    <w:rsid w:val="00105289"/>
    <w:rsid w:val="00110B87"/>
    <w:rsid w:val="0011472E"/>
    <w:rsid w:val="00117B76"/>
    <w:rsid w:val="0012273C"/>
    <w:rsid w:val="00124777"/>
    <w:rsid w:val="00125D0A"/>
    <w:rsid w:val="00125F8A"/>
    <w:rsid w:val="00137DFC"/>
    <w:rsid w:val="00143987"/>
    <w:rsid w:val="0015010D"/>
    <w:rsid w:val="001542D6"/>
    <w:rsid w:val="001568BE"/>
    <w:rsid w:val="001639E0"/>
    <w:rsid w:val="00170D32"/>
    <w:rsid w:val="001825F0"/>
    <w:rsid w:val="0018319F"/>
    <w:rsid w:val="00194D3E"/>
    <w:rsid w:val="001973BE"/>
    <w:rsid w:val="001D44B9"/>
    <w:rsid w:val="001D5A62"/>
    <w:rsid w:val="001D6419"/>
    <w:rsid w:val="001E2636"/>
    <w:rsid w:val="001E3034"/>
    <w:rsid w:val="00204F3B"/>
    <w:rsid w:val="00205037"/>
    <w:rsid w:val="00215545"/>
    <w:rsid w:val="00232738"/>
    <w:rsid w:val="00237B15"/>
    <w:rsid w:val="00245F64"/>
    <w:rsid w:val="00246CEB"/>
    <w:rsid w:val="0025258A"/>
    <w:rsid w:val="00257B53"/>
    <w:rsid w:val="00261FDE"/>
    <w:rsid w:val="002650DC"/>
    <w:rsid w:val="00265C2E"/>
    <w:rsid w:val="00266A93"/>
    <w:rsid w:val="00274753"/>
    <w:rsid w:val="00294664"/>
    <w:rsid w:val="00297252"/>
    <w:rsid w:val="002A131B"/>
    <w:rsid w:val="002A2B24"/>
    <w:rsid w:val="002D63C2"/>
    <w:rsid w:val="002E0499"/>
    <w:rsid w:val="002F1B06"/>
    <w:rsid w:val="003024C0"/>
    <w:rsid w:val="003104C0"/>
    <w:rsid w:val="00310887"/>
    <w:rsid w:val="00312984"/>
    <w:rsid w:val="0031579A"/>
    <w:rsid w:val="003248E3"/>
    <w:rsid w:val="003308B2"/>
    <w:rsid w:val="00330DEF"/>
    <w:rsid w:val="003344C4"/>
    <w:rsid w:val="00336331"/>
    <w:rsid w:val="0036100B"/>
    <w:rsid w:val="0036225C"/>
    <w:rsid w:val="00373E78"/>
    <w:rsid w:val="00382B1F"/>
    <w:rsid w:val="00383174"/>
    <w:rsid w:val="00394C73"/>
    <w:rsid w:val="00395E85"/>
    <w:rsid w:val="00396678"/>
    <w:rsid w:val="003B10E9"/>
    <w:rsid w:val="003B1986"/>
    <w:rsid w:val="003C709D"/>
    <w:rsid w:val="003D73ED"/>
    <w:rsid w:val="003F239B"/>
    <w:rsid w:val="00400DCA"/>
    <w:rsid w:val="00405280"/>
    <w:rsid w:val="0041274F"/>
    <w:rsid w:val="00415699"/>
    <w:rsid w:val="00415A19"/>
    <w:rsid w:val="00417ECC"/>
    <w:rsid w:val="00425F8D"/>
    <w:rsid w:val="00427B4E"/>
    <w:rsid w:val="00431C16"/>
    <w:rsid w:val="00432360"/>
    <w:rsid w:val="0044445E"/>
    <w:rsid w:val="004457FB"/>
    <w:rsid w:val="00465937"/>
    <w:rsid w:val="004664ED"/>
    <w:rsid w:val="00473DB2"/>
    <w:rsid w:val="00485760"/>
    <w:rsid w:val="004A55AD"/>
    <w:rsid w:val="004B723E"/>
    <w:rsid w:val="004E7AC5"/>
    <w:rsid w:val="004F23AE"/>
    <w:rsid w:val="00503DD0"/>
    <w:rsid w:val="00515DE7"/>
    <w:rsid w:val="005262B2"/>
    <w:rsid w:val="00550BAE"/>
    <w:rsid w:val="00571C9A"/>
    <w:rsid w:val="00574983"/>
    <w:rsid w:val="005859A2"/>
    <w:rsid w:val="005863DC"/>
    <w:rsid w:val="00586906"/>
    <w:rsid w:val="00586EC3"/>
    <w:rsid w:val="005A7A18"/>
    <w:rsid w:val="005B056B"/>
    <w:rsid w:val="005B6D5C"/>
    <w:rsid w:val="005C210E"/>
    <w:rsid w:val="005E0ECD"/>
    <w:rsid w:val="005F63B9"/>
    <w:rsid w:val="005F78D4"/>
    <w:rsid w:val="0060385E"/>
    <w:rsid w:val="0060508B"/>
    <w:rsid w:val="006112FF"/>
    <w:rsid w:val="00617E9B"/>
    <w:rsid w:val="00621574"/>
    <w:rsid w:val="00642C01"/>
    <w:rsid w:val="0064436A"/>
    <w:rsid w:val="006445E0"/>
    <w:rsid w:val="00645186"/>
    <w:rsid w:val="00663F2B"/>
    <w:rsid w:val="00664760"/>
    <w:rsid w:val="006657E1"/>
    <w:rsid w:val="006779C7"/>
    <w:rsid w:val="006959DF"/>
    <w:rsid w:val="006A1727"/>
    <w:rsid w:val="006A6962"/>
    <w:rsid w:val="006A7C4F"/>
    <w:rsid w:val="006B51D2"/>
    <w:rsid w:val="006C527F"/>
    <w:rsid w:val="006D1758"/>
    <w:rsid w:val="006E0E84"/>
    <w:rsid w:val="006E4DB1"/>
    <w:rsid w:val="006F0A59"/>
    <w:rsid w:val="00712D40"/>
    <w:rsid w:val="00732D27"/>
    <w:rsid w:val="00734BAB"/>
    <w:rsid w:val="00736372"/>
    <w:rsid w:val="00771E0A"/>
    <w:rsid w:val="007816A5"/>
    <w:rsid w:val="00782CAE"/>
    <w:rsid w:val="00792DDE"/>
    <w:rsid w:val="00793DA3"/>
    <w:rsid w:val="00795D65"/>
    <w:rsid w:val="0079729D"/>
    <w:rsid w:val="00797CD5"/>
    <w:rsid w:val="007A1C5F"/>
    <w:rsid w:val="007A476A"/>
    <w:rsid w:val="007B412B"/>
    <w:rsid w:val="007D0A13"/>
    <w:rsid w:val="007F7D2E"/>
    <w:rsid w:val="00836F36"/>
    <w:rsid w:val="00841BD3"/>
    <w:rsid w:val="00841C97"/>
    <w:rsid w:val="008465D7"/>
    <w:rsid w:val="008618EE"/>
    <w:rsid w:val="00861CEC"/>
    <w:rsid w:val="008728DD"/>
    <w:rsid w:val="00885890"/>
    <w:rsid w:val="00897288"/>
    <w:rsid w:val="00897781"/>
    <w:rsid w:val="008B0BCE"/>
    <w:rsid w:val="008B1A1B"/>
    <w:rsid w:val="008D1A6C"/>
    <w:rsid w:val="008E44E9"/>
    <w:rsid w:val="008F0271"/>
    <w:rsid w:val="008F24E4"/>
    <w:rsid w:val="009001AB"/>
    <w:rsid w:val="00902188"/>
    <w:rsid w:val="009120C4"/>
    <w:rsid w:val="00923CE1"/>
    <w:rsid w:val="00957E84"/>
    <w:rsid w:val="00973E6B"/>
    <w:rsid w:val="009773D1"/>
    <w:rsid w:val="009804C0"/>
    <w:rsid w:val="00984E19"/>
    <w:rsid w:val="00995C08"/>
    <w:rsid w:val="009A4DCB"/>
    <w:rsid w:val="009D1850"/>
    <w:rsid w:val="009E3CEC"/>
    <w:rsid w:val="009E510E"/>
    <w:rsid w:val="009E6FEF"/>
    <w:rsid w:val="009F3F32"/>
    <w:rsid w:val="00A019CD"/>
    <w:rsid w:val="00A12AAE"/>
    <w:rsid w:val="00A252BD"/>
    <w:rsid w:val="00A32949"/>
    <w:rsid w:val="00A3737C"/>
    <w:rsid w:val="00A41429"/>
    <w:rsid w:val="00A51F93"/>
    <w:rsid w:val="00A66E6A"/>
    <w:rsid w:val="00A75FD7"/>
    <w:rsid w:val="00AC11E5"/>
    <w:rsid w:val="00B1339C"/>
    <w:rsid w:val="00B25548"/>
    <w:rsid w:val="00B269DC"/>
    <w:rsid w:val="00B35B1C"/>
    <w:rsid w:val="00B43415"/>
    <w:rsid w:val="00B50BEC"/>
    <w:rsid w:val="00B51432"/>
    <w:rsid w:val="00B57E05"/>
    <w:rsid w:val="00B64705"/>
    <w:rsid w:val="00B839DD"/>
    <w:rsid w:val="00B92C64"/>
    <w:rsid w:val="00B96DDB"/>
    <w:rsid w:val="00BA3980"/>
    <w:rsid w:val="00BB1E04"/>
    <w:rsid w:val="00BB75E7"/>
    <w:rsid w:val="00BD0209"/>
    <w:rsid w:val="00BD0779"/>
    <w:rsid w:val="00BD3720"/>
    <w:rsid w:val="00BE0F3F"/>
    <w:rsid w:val="00BF629B"/>
    <w:rsid w:val="00BF698A"/>
    <w:rsid w:val="00C111EB"/>
    <w:rsid w:val="00C118FD"/>
    <w:rsid w:val="00C12981"/>
    <w:rsid w:val="00C13129"/>
    <w:rsid w:val="00C22C58"/>
    <w:rsid w:val="00C605C6"/>
    <w:rsid w:val="00C61F60"/>
    <w:rsid w:val="00C62118"/>
    <w:rsid w:val="00C659F8"/>
    <w:rsid w:val="00C73546"/>
    <w:rsid w:val="00C7738B"/>
    <w:rsid w:val="00C8039E"/>
    <w:rsid w:val="00C83588"/>
    <w:rsid w:val="00C860E0"/>
    <w:rsid w:val="00C865F0"/>
    <w:rsid w:val="00CA5EB2"/>
    <w:rsid w:val="00CB5814"/>
    <w:rsid w:val="00CC163F"/>
    <w:rsid w:val="00CD1F9A"/>
    <w:rsid w:val="00CD295C"/>
    <w:rsid w:val="00CE19B4"/>
    <w:rsid w:val="00CF12D0"/>
    <w:rsid w:val="00CF5AB3"/>
    <w:rsid w:val="00D10614"/>
    <w:rsid w:val="00D10F2C"/>
    <w:rsid w:val="00D255F3"/>
    <w:rsid w:val="00D41E2A"/>
    <w:rsid w:val="00D43304"/>
    <w:rsid w:val="00D43B78"/>
    <w:rsid w:val="00D45DDB"/>
    <w:rsid w:val="00D50097"/>
    <w:rsid w:val="00D73BDE"/>
    <w:rsid w:val="00D817FF"/>
    <w:rsid w:val="00D84F61"/>
    <w:rsid w:val="00D922A1"/>
    <w:rsid w:val="00D94419"/>
    <w:rsid w:val="00D94D26"/>
    <w:rsid w:val="00DA7D60"/>
    <w:rsid w:val="00DB4725"/>
    <w:rsid w:val="00DB522B"/>
    <w:rsid w:val="00DC137C"/>
    <w:rsid w:val="00DC1A1C"/>
    <w:rsid w:val="00DC2981"/>
    <w:rsid w:val="00DE47B8"/>
    <w:rsid w:val="00E018C5"/>
    <w:rsid w:val="00E10FD4"/>
    <w:rsid w:val="00E11807"/>
    <w:rsid w:val="00E12574"/>
    <w:rsid w:val="00E23498"/>
    <w:rsid w:val="00E2600C"/>
    <w:rsid w:val="00E44595"/>
    <w:rsid w:val="00E46FCA"/>
    <w:rsid w:val="00E52408"/>
    <w:rsid w:val="00E57702"/>
    <w:rsid w:val="00E57F70"/>
    <w:rsid w:val="00E646B4"/>
    <w:rsid w:val="00E6535F"/>
    <w:rsid w:val="00E7665D"/>
    <w:rsid w:val="00E80337"/>
    <w:rsid w:val="00E821F8"/>
    <w:rsid w:val="00E8596E"/>
    <w:rsid w:val="00E9440D"/>
    <w:rsid w:val="00E97192"/>
    <w:rsid w:val="00EB3DBE"/>
    <w:rsid w:val="00ED320A"/>
    <w:rsid w:val="00EF0370"/>
    <w:rsid w:val="00EF74FC"/>
    <w:rsid w:val="00F049D1"/>
    <w:rsid w:val="00F057C7"/>
    <w:rsid w:val="00F131C4"/>
    <w:rsid w:val="00F15793"/>
    <w:rsid w:val="00F377AB"/>
    <w:rsid w:val="00F404DA"/>
    <w:rsid w:val="00F40DDF"/>
    <w:rsid w:val="00F700AF"/>
    <w:rsid w:val="00F834A1"/>
    <w:rsid w:val="00F85F6B"/>
    <w:rsid w:val="00F95F3D"/>
    <w:rsid w:val="00FA0D96"/>
    <w:rsid w:val="00FA0FF0"/>
    <w:rsid w:val="00FA2FF0"/>
    <w:rsid w:val="00FA46F5"/>
    <w:rsid w:val="00FA6B97"/>
    <w:rsid w:val="00FB27E1"/>
    <w:rsid w:val="00FC1B6B"/>
    <w:rsid w:val="00FE2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4C291"/>
  <w15:chartTrackingRefBased/>
  <w15:docId w15:val="{2307BE8B-B473-41F7-95C7-D6A591CF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5186"/>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A019CD"/>
    <w:pPr>
      <w:keepNext/>
      <w:spacing w:before="240"/>
      <w:outlineLvl w:val="0"/>
    </w:pPr>
    <w:rPr>
      <w:rFonts w:cs="Arial"/>
      <w:b/>
      <w:sz w:val="26"/>
      <w:szCs w:val="32"/>
    </w:rPr>
  </w:style>
  <w:style w:type="paragraph" w:styleId="Nadpis2">
    <w:name w:val="heading 2"/>
    <w:basedOn w:val="Nadpis1"/>
    <w:next w:val="Normln"/>
    <w:link w:val="Nadpis2Char"/>
    <w:qFormat/>
    <w:rsid w:val="00A019CD"/>
    <w:pPr>
      <w:numPr>
        <w:ilvl w:val="1"/>
      </w:numPr>
      <w:ind w:hanging="709"/>
      <w:outlineLvl w:val="1"/>
    </w:pPr>
    <w:rPr>
      <w:bCs/>
      <w:iCs/>
      <w:sz w:val="24"/>
      <w:szCs w:val="28"/>
    </w:rPr>
  </w:style>
  <w:style w:type="paragraph" w:styleId="Nadpis3">
    <w:name w:val="heading 3"/>
    <w:basedOn w:val="Nadpis2"/>
    <w:next w:val="Normln"/>
    <w:link w:val="Nadpis3Char"/>
    <w:qFormat/>
    <w:rsid w:val="00A019CD"/>
    <w:pPr>
      <w:numPr>
        <w:ilvl w:val="2"/>
      </w:numPr>
      <w:ind w:hanging="709"/>
      <w:outlineLvl w:val="2"/>
    </w:pPr>
    <w:rPr>
      <w:bCs w:val="0"/>
      <w:sz w:val="22"/>
      <w:szCs w:val="26"/>
    </w:rPr>
  </w:style>
  <w:style w:type="paragraph" w:styleId="Nadpis4">
    <w:name w:val="heading 4"/>
    <w:basedOn w:val="Normln"/>
    <w:next w:val="Normln"/>
    <w:link w:val="Nadpis4Char"/>
    <w:semiHidden/>
    <w:unhideWhenUsed/>
    <w:qFormat/>
    <w:rsid w:val="00645186"/>
    <w:pPr>
      <w:keepNext/>
      <w:spacing w:before="240"/>
      <w:ind w:left="864" w:hanging="864"/>
      <w:outlineLvl w:val="3"/>
    </w:pPr>
    <w:rPr>
      <w:rFonts w:ascii="Cambria" w:hAnsi="Cambria"/>
      <w:b/>
      <w:bCs/>
      <w:szCs w:val="28"/>
      <w:lang w:val="x-none" w:eastAsia="x-none"/>
    </w:rPr>
  </w:style>
  <w:style w:type="paragraph" w:styleId="Nadpis5">
    <w:name w:val="heading 5"/>
    <w:basedOn w:val="Normln"/>
    <w:next w:val="Normln"/>
    <w:link w:val="Nadpis5Char"/>
    <w:semiHidden/>
    <w:unhideWhenUsed/>
    <w:qFormat/>
    <w:rsid w:val="00645186"/>
    <w:pPr>
      <w:spacing w:before="240"/>
      <w:ind w:left="1008" w:hanging="1008"/>
      <w:outlineLvl w:val="4"/>
    </w:pPr>
    <w:rPr>
      <w:b/>
      <w:bCs/>
      <w:i/>
      <w:iCs/>
      <w:sz w:val="26"/>
      <w:szCs w:val="26"/>
      <w:lang w:val="x-none" w:eastAsia="x-none"/>
    </w:rPr>
  </w:style>
  <w:style w:type="paragraph" w:styleId="Nadpis6">
    <w:name w:val="heading 6"/>
    <w:basedOn w:val="Normln"/>
    <w:next w:val="Normln"/>
    <w:link w:val="Nadpis6Char"/>
    <w:semiHidden/>
    <w:unhideWhenUsed/>
    <w:qFormat/>
    <w:rsid w:val="00645186"/>
    <w:pPr>
      <w:spacing w:before="240"/>
      <w:ind w:left="1152" w:hanging="1152"/>
      <w:outlineLvl w:val="5"/>
    </w:pPr>
    <w:rPr>
      <w:b/>
      <w:bCs/>
      <w:szCs w:val="22"/>
      <w:lang w:val="x-none" w:eastAsia="x-none"/>
    </w:rPr>
  </w:style>
  <w:style w:type="paragraph" w:styleId="Nadpis7">
    <w:name w:val="heading 7"/>
    <w:basedOn w:val="Normln"/>
    <w:next w:val="Normln"/>
    <w:link w:val="Nadpis7Char"/>
    <w:uiPriority w:val="99"/>
    <w:semiHidden/>
    <w:unhideWhenUsed/>
    <w:qFormat/>
    <w:rsid w:val="00645186"/>
    <w:pPr>
      <w:spacing w:before="240"/>
      <w:ind w:left="1296" w:hanging="1296"/>
      <w:outlineLvl w:val="6"/>
    </w:pPr>
    <w:rPr>
      <w:sz w:val="24"/>
      <w:lang w:val="x-none" w:eastAsia="x-none"/>
    </w:rPr>
  </w:style>
  <w:style w:type="paragraph" w:styleId="Nadpis8">
    <w:name w:val="heading 8"/>
    <w:basedOn w:val="Normln"/>
    <w:next w:val="Normln"/>
    <w:link w:val="Nadpis8Char"/>
    <w:uiPriority w:val="99"/>
    <w:semiHidden/>
    <w:unhideWhenUsed/>
    <w:qFormat/>
    <w:rsid w:val="00645186"/>
    <w:pPr>
      <w:spacing w:before="240"/>
      <w:ind w:left="1440" w:hanging="1440"/>
      <w:outlineLvl w:val="7"/>
    </w:pPr>
    <w:rPr>
      <w:i/>
      <w:iCs/>
      <w:sz w:val="24"/>
      <w:lang w:val="x-none" w:eastAsia="x-none"/>
    </w:rPr>
  </w:style>
  <w:style w:type="paragraph" w:styleId="Nadpis9">
    <w:name w:val="heading 9"/>
    <w:basedOn w:val="Normln"/>
    <w:next w:val="Normln"/>
    <w:link w:val="Nadpis9Char"/>
    <w:uiPriority w:val="99"/>
    <w:semiHidden/>
    <w:unhideWhenUsed/>
    <w:qFormat/>
    <w:rsid w:val="00645186"/>
    <w:pPr>
      <w:spacing w:before="240"/>
      <w:ind w:left="1584" w:hanging="1584"/>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8"/>
      </w:numPr>
    </w:pPr>
  </w:style>
  <w:style w:type="paragraph" w:customStyle="1" w:styleId="Seznamsodrkamiodsazen">
    <w:name w:val="Seznam s odrážkami odsazený"/>
    <w:basedOn w:val="Seznamsodrkami"/>
    <w:rsid w:val="00F131C4"/>
    <w:pPr>
      <w:numPr>
        <w:numId w:val="9"/>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outlineLvl w:val="0"/>
    </w:pPr>
    <w:rPr>
      <w:rFonts w:cs="Arial"/>
      <w:b/>
      <w:bCs/>
      <w:kern w:val="28"/>
      <w:sz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rsid w:val="00841BD3"/>
    <w:pPr>
      <w:tabs>
        <w:tab w:val="center" w:pos="4536"/>
        <w:tab w:val="right" w:pos="9072"/>
      </w:tabs>
    </w:pPr>
  </w:style>
  <w:style w:type="numbering" w:customStyle="1" w:styleId="SeznamHolec">
    <w:name w:val="Seznam Holec"/>
    <w:rsid w:val="00CA5EB2"/>
    <w:pPr>
      <w:numPr>
        <w:numId w:val="10"/>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uiPriority w:val="99"/>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12"/>
      </w:numPr>
    </w:pPr>
  </w:style>
  <w:style w:type="paragraph" w:customStyle="1" w:styleId="Odrazka1">
    <w:name w:val="Odrazka 1"/>
    <w:basedOn w:val="Normln"/>
    <w:link w:val="Odrazka1Char"/>
    <w:qFormat/>
    <w:rsid w:val="001E2636"/>
    <w:pPr>
      <w:numPr>
        <w:numId w:val="14"/>
      </w:numPr>
    </w:pPr>
  </w:style>
  <w:style w:type="character" w:customStyle="1" w:styleId="Odrazka1Char">
    <w:name w:val="Odrazka 1 Char"/>
    <w:link w:val="Odrazka1"/>
    <w:rsid w:val="001E2636"/>
    <w:rPr>
      <w:sz w:val="22"/>
      <w:szCs w:val="24"/>
    </w:rPr>
  </w:style>
  <w:style w:type="paragraph" w:customStyle="1" w:styleId="Odrazka2">
    <w:name w:val="Odrazka 2"/>
    <w:basedOn w:val="Odrazka1"/>
    <w:link w:val="Odrazka2Char"/>
    <w:uiPriority w:val="99"/>
    <w:qFormat/>
    <w:rsid w:val="001E2636"/>
    <w:pPr>
      <w:numPr>
        <w:ilvl w:val="1"/>
      </w:numPr>
    </w:pPr>
  </w:style>
  <w:style w:type="character" w:customStyle="1" w:styleId="Odrazka2Char">
    <w:name w:val="Odrazka 2 Char"/>
    <w:link w:val="Odrazka2"/>
    <w:rsid w:val="001E2636"/>
    <w:rPr>
      <w:sz w:val="22"/>
      <w:szCs w:val="24"/>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link w:val="Odrazka3"/>
    <w:rsid w:val="00841C97"/>
    <w:rPr>
      <w:sz w:val="22"/>
      <w:szCs w:val="24"/>
    </w:rPr>
  </w:style>
  <w:style w:type="paragraph" w:styleId="Nzev">
    <w:name w:val="Title"/>
    <w:basedOn w:val="Normln"/>
    <w:next w:val="Normln"/>
    <w:link w:val="NzevChar"/>
    <w:qFormat/>
    <w:rsid w:val="005F63B9"/>
    <w:pPr>
      <w:pBdr>
        <w:bottom w:val="single" w:sz="8" w:space="4" w:color="4F81BD"/>
      </w:pBdr>
      <w:spacing w:before="0" w:after="300" w:line="240" w:lineRule="auto"/>
      <w:contextualSpacing/>
    </w:pPr>
    <w:rPr>
      <w:color w:val="17365D"/>
      <w:spacing w:val="5"/>
      <w:kern w:val="28"/>
      <w:sz w:val="52"/>
      <w:szCs w:val="52"/>
    </w:rPr>
  </w:style>
  <w:style w:type="character" w:customStyle="1" w:styleId="NzevChar">
    <w:name w:val="Název Char"/>
    <w:link w:val="Nzev"/>
    <w:rsid w:val="005F63B9"/>
    <w:rPr>
      <w:rFonts w:ascii="Calibri" w:eastAsia="Times New Roman" w:hAnsi="Calibri" w:cs="Times New Roman"/>
      <w:color w:val="17365D"/>
      <w:spacing w:val="5"/>
      <w:kern w:val="28"/>
      <w:sz w:val="52"/>
      <w:szCs w:val="52"/>
    </w:rPr>
  </w:style>
  <w:style w:type="character" w:customStyle="1" w:styleId="Nadpis4Char">
    <w:name w:val="Nadpis 4 Char"/>
    <w:basedOn w:val="Standardnpsmoodstavce"/>
    <w:link w:val="Nadpis4"/>
    <w:semiHidden/>
    <w:rsid w:val="00645186"/>
    <w:rPr>
      <w:rFonts w:ascii="Cambria" w:hAnsi="Cambria"/>
      <w:b/>
      <w:bCs/>
      <w:sz w:val="22"/>
      <w:szCs w:val="28"/>
      <w:lang w:val="x-none" w:eastAsia="x-none"/>
    </w:rPr>
  </w:style>
  <w:style w:type="character" w:customStyle="1" w:styleId="Nadpis5Char">
    <w:name w:val="Nadpis 5 Char"/>
    <w:basedOn w:val="Standardnpsmoodstavce"/>
    <w:link w:val="Nadpis5"/>
    <w:semiHidden/>
    <w:rsid w:val="00645186"/>
    <w:rPr>
      <w:rFonts w:ascii="Calibri" w:hAnsi="Calibri"/>
      <w:b/>
      <w:bCs/>
      <w:i/>
      <w:iCs/>
      <w:sz w:val="26"/>
      <w:szCs w:val="26"/>
      <w:lang w:val="x-none" w:eastAsia="x-none"/>
    </w:rPr>
  </w:style>
  <w:style w:type="character" w:customStyle="1" w:styleId="Nadpis6Char">
    <w:name w:val="Nadpis 6 Char"/>
    <w:basedOn w:val="Standardnpsmoodstavce"/>
    <w:link w:val="Nadpis6"/>
    <w:semiHidden/>
    <w:rsid w:val="00645186"/>
    <w:rPr>
      <w:rFonts w:ascii="Calibri" w:hAnsi="Calibri"/>
      <w:b/>
      <w:bCs/>
      <w:sz w:val="22"/>
      <w:szCs w:val="22"/>
      <w:lang w:val="x-none" w:eastAsia="x-none"/>
    </w:rPr>
  </w:style>
  <w:style w:type="character" w:customStyle="1" w:styleId="Nadpis7Char">
    <w:name w:val="Nadpis 7 Char"/>
    <w:basedOn w:val="Standardnpsmoodstavce"/>
    <w:link w:val="Nadpis7"/>
    <w:uiPriority w:val="99"/>
    <w:semiHidden/>
    <w:rsid w:val="00645186"/>
    <w:rPr>
      <w:rFonts w:ascii="Calibri" w:hAnsi="Calibri"/>
      <w:sz w:val="24"/>
      <w:szCs w:val="24"/>
      <w:lang w:val="x-none" w:eastAsia="x-none"/>
    </w:rPr>
  </w:style>
  <w:style w:type="character" w:customStyle="1" w:styleId="Nadpis8Char">
    <w:name w:val="Nadpis 8 Char"/>
    <w:basedOn w:val="Standardnpsmoodstavce"/>
    <w:link w:val="Nadpis8"/>
    <w:uiPriority w:val="99"/>
    <w:semiHidden/>
    <w:rsid w:val="00645186"/>
    <w:rPr>
      <w:rFonts w:ascii="Calibri" w:hAnsi="Calibri"/>
      <w:i/>
      <w:iCs/>
      <w:sz w:val="24"/>
      <w:szCs w:val="24"/>
      <w:lang w:val="x-none" w:eastAsia="x-none"/>
    </w:rPr>
  </w:style>
  <w:style w:type="character" w:customStyle="1" w:styleId="Nadpis9Char">
    <w:name w:val="Nadpis 9 Char"/>
    <w:basedOn w:val="Standardnpsmoodstavce"/>
    <w:link w:val="Nadpis9"/>
    <w:uiPriority w:val="99"/>
    <w:semiHidden/>
    <w:rsid w:val="00645186"/>
    <w:rPr>
      <w:rFonts w:ascii="Cambria" w:hAnsi="Cambria"/>
      <w:sz w:val="22"/>
      <w:szCs w:val="22"/>
    </w:rPr>
  </w:style>
  <w:style w:type="character" w:customStyle="1" w:styleId="Nadpis1Char">
    <w:name w:val="Nadpis 1 Char"/>
    <w:basedOn w:val="Standardnpsmoodstavce"/>
    <w:link w:val="Nadpis1"/>
    <w:rsid w:val="00645186"/>
    <w:rPr>
      <w:rFonts w:ascii="Calibri" w:hAnsi="Calibri" w:cs="Arial"/>
      <w:b/>
      <w:sz w:val="26"/>
      <w:szCs w:val="32"/>
    </w:rPr>
  </w:style>
  <w:style w:type="character" w:styleId="Hypertextovodkaz">
    <w:name w:val="Hyperlink"/>
    <w:uiPriority w:val="99"/>
    <w:unhideWhenUsed/>
    <w:rsid w:val="00645186"/>
    <w:rPr>
      <w:color w:val="0000FF"/>
      <w:u w:val="single"/>
    </w:rPr>
  </w:style>
  <w:style w:type="paragraph" w:styleId="Obsah1">
    <w:name w:val="toc 1"/>
    <w:basedOn w:val="Normln"/>
    <w:next w:val="Normln"/>
    <w:autoRedefine/>
    <w:uiPriority w:val="39"/>
    <w:unhideWhenUsed/>
    <w:qFormat/>
    <w:rsid w:val="00645186"/>
    <w:pPr>
      <w:tabs>
        <w:tab w:val="left" w:pos="426"/>
        <w:tab w:val="right" w:leader="dot" w:pos="8820"/>
      </w:tabs>
    </w:pPr>
  </w:style>
  <w:style w:type="paragraph" w:styleId="Textpoznpodarou">
    <w:name w:val="footnote text"/>
    <w:basedOn w:val="Normln"/>
    <w:link w:val="TextpoznpodarouChar"/>
    <w:uiPriority w:val="99"/>
    <w:unhideWhenUsed/>
    <w:rsid w:val="00645186"/>
    <w:rPr>
      <w:sz w:val="20"/>
      <w:szCs w:val="20"/>
    </w:rPr>
  </w:style>
  <w:style w:type="character" w:customStyle="1" w:styleId="TextpoznpodarouChar">
    <w:name w:val="Text pozn. pod čarou Char"/>
    <w:basedOn w:val="Standardnpsmoodstavce"/>
    <w:link w:val="Textpoznpodarou"/>
    <w:uiPriority w:val="99"/>
    <w:rsid w:val="00645186"/>
    <w:rPr>
      <w:rFonts w:ascii="Calibri" w:hAnsi="Calibri"/>
    </w:rPr>
  </w:style>
  <w:style w:type="paragraph" w:customStyle="1" w:styleId="Normlnzarovantdobloku">
    <w:name w:val="Normální + zarovant do bloku"/>
    <w:basedOn w:val="Normln"/>
    <w:uiPriority w:val="99"/>
    <w:rsid w:val="00645186"/>
    <w:pPr>
      <w:spacing w:before="0" w:after="0" w:line="240" w:lineRule="auto"/>
    </w:pPr>
    <w:rPr>
      <w:sz w:val="24"/>
    </w:rPr>
  </w:style>
  <w:style w:type="paragraph" w:customStyle="1" w:styleId="Normlnzarovnatdobloku">
    <w:name w:val="Normální + zarovnat do bloku"/>
    <w:basedOn w:val="Normln"/>
    <w:uiPriority w:val="99"/>
    <w:rsid w:val="00645186"/>
    <w:pPr>
      <w:shd w:val="clear" w:color="auto" w:fill="FFFFFF"/>
      <w:tabs>
        <w:tab w:val="left" w:pos="696"/>
      </w:tabs>
      <w:spacing w:before="0" w:after="0" w:line="341" w:lineRule="exact"/>
      <w:ind w:left="350"/>
    </w:pPr>
    <w:rPr>
      <w:color w:val="000000"/>
      <w:spacing w:val="-5"/>
      <w:sz w:val="24"/>
    </w:rPr>
  </w:style>
  <w:style w:type="paragraph" w:customStyle="1" w:styleId="Normln1">
    <w:name w:val="Normální1"/>
    <w:uiPriority w:val="99"/>
    <w:rsid w:val="00645186"/>
    <w:rPr>
      <w:color w:val="000000"/>
    </w:rPr>
  </w:style>
  <w:style w:type="character" w:styleId="Znakapoznpodarou">
    <w:name w:val="footnote reference"/>
    <w:uiPriority w:val="99"/>
    <w:unhideWhenUsed/>
    <w:rsid w:val="00645186"/>
    <w:rPr>
      <w:vertAlign w:val="superscript"/>
    </w:rPr>
  </w:style>
  <w:style w:type="character" w:styleId="Odkaznakoment">
    <w:name w:val="annotation reference"/>
    <w:uiPriority w:val="99"/>
    <w:unhideWhenUsed/>
    <w:rsid w:val="00645186"/>
    <w:rPr>
      <w:sz w:val="16"/>
      <w:szCs w:val="16"/>
    </w:rPr>
  </w:style>
  <w:style w:type="character" w:customStyle="1" w:styleId="Nadpis3Char">
    <w:name w:val="Nadpis 3 Char"/>
    <w:link w:val="Nadpis3"/>
    <w:locked/>
    <w:rsid w:val="00645186"/>
    <w:rPr>
      <w:rFonts w:ascii="Calibri" w:hAnsi="Calibri" w:cs="Arial"/>
      <w:b/>
      <w:iCs/>
      <w:sz w:val="22"/>
      <w:szCs w:val="26"/>
    </w:rPr>
  </w:style>
  <w:style w:type="character" w:customStyle="1" w:styleId="Nadpis2Char">
    <w:name w:val="Nadpis 2 Char"/>
    <w:link w:val="Nadpis2"/>
    <w:locked/>
    <w:rsid w:val="00645186"/>
    <w:rPr>
      <w:rFonts w:ascii="Calibri" w:hAnsi="Calibri" w:cs="Arial"/>
      <w:b/>
      <w:bCs/>
      <w:iCs/>
      <w:sz w:val="24"/>
      <w:szCs w:val="28"/>
    </w:rPr>
  </w:style>
  <w:style w:type="character" w:customStyle="1" w:styleId="dn">
    <w:name w:val="Žádný"/>
    <w:rsid w:val="00645186"/>
  </w:style>
  <w:style w:type="character" w:customStyle="1" w:styleId="Nadpis2Char3">
    <w:name w:val="Nadpis 2 Char3"/>
    <w:rsid w:val="003B10E9"/>
    <w:rPr>
      <w:rFonts w:ascii="Calibri" w:hAnsi="Calibri"/>
      <w:b/>
      <w:bCs/>
      <w:iCs/>
      <w:sz w:val="22"/>
      <w:szCs w:val="22"/>
      <w:lang w:val="x-none" w:eastAsia="en-US"/>
    </w:rPr>
  </w:style>
  <w:style w:type="character" w:customStyle="1" w:styleId="Nadpis3Char1">
    <w:name w:val="Nadpis 3 Char1"/>
    <w:rsid w:val="00B839DD"/>
    <w:rPr>
      <w:rFonts w:ascii="Calibri" w:hAnsi="Calibri"/>
      <w:b/>
      <w:iCs/>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0803">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3"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8"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6" Type="http://schemas.openxmlformats.org/officeDocument/2006/relationships/hyperlink" Target="https://zakazky.cenakhk.cz/" TargetMode="External"/><Relationship Id="rId3" Type="http://schemas.openxmlformats.org/officeDocument/2006/relationships/settings" Target="settings.xml"/><Relationship Id="rId21"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7"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2"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7"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5" Type="http://schemas.openxmlformats.org/officeDocument/2006/relationships/hyperlink" Target="https://smart.ezak.cz/manual.html" TargetMode="External"/><Relationship Id="rId2" Type="http://schemas.openxmlformats.org/officeDocument/2006/relationships/styles" Target="styles.xml"/><Relationship Id="rId16"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0"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4" Type="http://schemas.openxmlformats.org/officeDocument/2006/relationships/hyperlink" Target="https://zakazky.cenakhk.cz/" TargetMode="External"/><Relationship Id="rId5" Type="http://schemas.openxmlformats.org/officeDocument/2006/relationships/footnotes" Target="footnotes.xml"/><Relationship Id="rId15"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3" Type="http://schemas.openxmlformats.org/officeDocument/2006/relationships/hyperlink" Target="https://zakazky.cenakhk.cz/profile_display_2.html" TargetMode="External"/><Relationship Id="rId28" Type="http://schemas.openxmlformats.org/officeDocument/2006/relationships/footer" Target="footer2.xml"/><Relationship Id="rId10"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9"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4" Type="http://schemas.openxmlformats.org/officeDocument/2006/relationships/webSettings" Target="webSettings.xml"/><Relationship Id="rId9"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14" Type="http://schemas.openxmlformats.org/officeDocument/2006/relationships/hyperlink" Target="file:///I:\!Spolecne%20KLIENTI%20-%20aktualni\KHK_soci&#225;ln&#237;%20slu&#382;by\!Slu&#382;by_2022\Slu&#382;by%20soci&#225;ln&#237;%20prevence%20v%20Kr&#225;lov&#233;hradeck&#233;m%20kraji%20VI\ZD\20220506_navrh%20+%20AD_prefin\ZD_Sluzby%20VII_Rev%20JZ_revHZP.doc" TargetMode="External"/><Relationship Id="rId22" Type="http://schemas.openxmlformats.org/officeDocument/2006/relationships/hyperlink" Target="https://www.ezak.cz/zaruky-a-certifika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3976</Words>
  <Characters>28376</Characters>
  <Application>Microsoft Office Word</Application>
  <DocSecurity>0</DocSecurity>
  <Lines>236</Lines>
  <Paragraphs>64</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Kateřina Godycká</dc:creator>
  <cp:keywords/>
  <dc:description/>
  <cp:lastModifiedBy>Zuzana Zajícová</cp:lastModifiedBy>
  <cp:revision>23</cp:revision>
  <cp:lastPrinted>2004-09-01T08:56:00Z</cp:lastPrinted>
  <dcterms:created xsi:type="dcterms:W3CDTF">2022-05-09T06:23:00Z</dcterms:created>
  <dcterms:modified xsi:type="dcterms:W3CDTF">2022-06-22T07:01:00Z</dcterms:modified>
</cp:coreProperties>
</file>