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D3" w:rsidRPr="005145D3" w:rsidRDefault="005145D3" w:rsidP="005145D3">
      <w:pPr>
        <w:pStyle w:val="Textkomente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145D3">
        <w:rPr>
          <w:rFonts w:asciiTheme="minorHAnsi" w:hAnsiTheme="minorHAnsi" w:cs="Arial"/>
          <w:sz w:val="22"/>
          <w:szCs w:val="22"/>
        </w:rPr>
        <w:t>Zadavatel požaduje dodávku nových, nepoužitých přístrojů a jejich částí. Nepřipouští možnost dodávky repasovaných přístrojů nebo jejich částí.</w:t>
      </w:r>
    </w:p>
    <w:p w:rsidR="0041081C" w:rsidRDefault="005145D3" w:rsidP="005145D3">
      <w:pPr>
        <w:pStyle w:val="Textkomente"/>
        <w:jc w:val="both"/>
        <w:rPr>
          <w:rFonts w:asciiTheme="minorHAnsi" w:hAnsiTheme="minorHAnsi" w:cs="Arial"/>
          <w:sz w:val="22"/>
          <w:szCs w:val="22"/>
        </w:rPr>
      </w:pPr>
      <w:r w:rsidRPr="005145D3">
        <w:rPr>
          <w:rFonts w:asciiTheme="minorHAnsi" w:hAnsiTheme="minorHAnsi" w:cs="Arial"/>
          <w:sz w:val="22"/>
          <w:szCs w:val="22"/>
        </w:rPr>
        <w:t>Zadavatel akceptuje dodávku přístroje s tolerancí +/- 10 % od uvedených technických parametrů, pokud uchazeč v nabídce prokáže, že nabízené zařízení je vyhovující pro požadovaný medicínský účel, tj. diagnostické využití. Technické parametry, označené jako minimální nebo maximální musí být dodrženy bez možnosti uplatnit toleranci.</w:t>
      </w:r>
    </w:p>
    <w:p w:rsidR="00A06943" w:rsidRDefault="00A06943" w:rsidP="008A6D51">
      <w:pPr>
        <w:spacing w:after="0" w:line="240" w:lineRule="auto"/>
        <w:rPr>
          <w:b/>
        </w:rPr>
      </w:pPr>
    </w:p>
    <w:p w:rsidR="00D77D01" w:rsidRPr="008A6D51" w:rsidRDefault="00D77D01" w:rsidP="008A6D51">
      <w:pPr>
        <w:spacing w:after="0" w:line="240" w:lineRule="auto"/>
        <w:rPr>
          <w:b/>
        </w:rPr>
      </w:pPr>
      <w:r>
        <w:rPr>
          <w:b/>
        </w:rPr>
        <w:t xml:space="preserve">Popis: </w:t>
      </w:r>
      <w:r w:rsidRPr="00D77D01">
        <w:t>Infuzní technika k podávání léčiv a výž</w:t>
      </w:r>
      <w:r w:rsidR="00956792">
        <w:t>ivy pacientům na resuscitačních,</w:t>
      </w:r>
      <w:r w:rsidRPr="00D77D01">
        <w:t xml:space="preserve"> intenzivních </w:t>
      </w:r>
      <w:r w:rsidR="00956792">
        <w:t>lůžkách a dětském odd.</w:t>
      </w:r>
    </w:p>
    <w:p w:rsidR="00EB42CB" w:rsidRDefault="00EB42CB" w:rsidP="00EB42CB">
      <w:pPr>
        <w:spacing w:after="0" w:line="240" w:lineRule="auto"/>
      </w:pPr>
    </w:p>
    <w:p w:rsidR="00396272" w:rsidRPr="00396272" w:rsidRDefault="003C0B8A" w:rsidP="00956792">
      <w:pPr>
        <w:spacing w:after="0" w:line="240" w:lineRule="auto"/>
        <w:rPr>
          <w:b/>
        </w:rPr>
      </w:pPr>
      <w:r>
        <w:rPr>
          <w:b/>
        </w:rPr>
        <w:t>Rozpis</w:t>
      </w:r>
      <w:r w:rsidR="00D77D01" w:rsidRPr="00D77D01">
        <w:rPr>
          <w:b/>
        </w:rPr>
        <w:t xml:space="preserve"> infuzní techniky</w:t>
      </w:r>
      <w:r w:rsidR="00956792">
        <w:rPr>
          <w:b/>
        </w:rPr>
        <w:t xml:space="preserve"> – počet ks</w:t>
      </w:r>
      <w:r w:rsidR="00D77D01" w:rsidRPr="00D77D01">
        <w:rPr>
          <w:b/>
        </w:rPr>
        <w:t>:</w:t>
      </w:r>
    </w:p>
    <w:p w:rsidR="00D77D01" w:rsidRDefault="00D77D01" w:rsidP="00956792">
      <w:pPr>
        <w:spacing w:after="0" w:line="240" w:lineRule="auto"/>
      </w:pPr>
      <w:r>
        <w:t>ARO</w:t>
      </w:r>
      <w:r w:rsidR="00956792">
        <w:t xml:space="preserve"> </w:t>
      </w:r>
      <w:r>
        <w:t>–</w:t>
      </w:r>
      <w:r w:rsidR="00956792">
        <w:t xml:space="preserve"> COS</w:t>
      </w:r>
    </w:p>
    <w:p w:rsidR="00D77D01" w:rsidRDefault="00593D89" w:rsidP="0039627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>6</w:t>
      </w:r>
      <w:r w:rsidR="00D77D01">
        <w:t xml:space="preserve"> ks </w:t>
      </w:r>
      <w:r w:rsidR="00D77D01">
        <w:tab/>
        <w:t>Lineární dávkovač</w:t>
      </w:r>
      <w:r w:rsidR="0057141C">
        <w:t xml:space="preserve"> s režimem TIVA-TCI</w:t>
      </w:r>
    </w:p>
    <w:p w:rsidR="00593D89" w:rsidRDefault="00593D89" w:rsidP="0039627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 xml:space="preserve">3 ks </w:t>
      </w:r>
      <w:r>
        <w:tab/>
        <w:t>Lineární dávkovač s režimem PCA</w:t>
      </w:r>
    </w:p>
    <w:p w:rsidR="00F51658" w:rsidRDefault="00F51658" w:rsidP="00396272">
      <w:pPr>
        <w:spacing w:after="0" w:line="240" w:lineRule="auto"/>
        <w:ind w:firstLine="284"/>
      </w:pPr>
    </w:p>
    <w:p w:rsidR="00D77D01" w:rsidRDefault="00956792" w:rsidP="00956792">
      <w:pPr>
        <w:spacing w:after="0" w:line="240" w:lineRule="auto"/>
      </w:pPr>
      <w:r>
        <w:t>ARO – lůžkové odd.</w:t>
      </w:r>
    </w:p>
    <w:p w:rsidR="00D77D01" w:rsidRDefault="00F51658" w:rsidP="0039627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>6</w:t>
      </w:r>
      <w:r w:rsidR="00D77D01">
        <w:t xml:space="preserve"> ks </w:t>
      </w:r>
      <w:r w:rsidR="00D77D01">
        <w:tab/>
        <w:t xml:space="preserve">Dokovací stanice </w:t>
      </w:r>
      <w:r w:rsidR="00584DB8">
        <w:t xml:space="preserve">min. </w:t>
      </w:r>
      <w:r w:rsidR="00D77D01">
        <w:t>10 pozic</w:t>
      </w:r>
    </w:p>
    <w:p w:rsidR="00D77D01" w:rsidRDefault="00D77D01" w:rsidP="0039627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>32 ks</w:t>
      </w:r>
      <w:r>
        <w:tab/>
        <w:t>Lineární dávkovač</w:t>
      </w:r>
    </w:p>
    <w:p w:rsidR="00956792" w:rsidRDefault="00D77D01" w:rsidP="0095679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>30 ks</w:t>
      </w:r>
      <w:r>
        <w:tab/>
        <w:t>Infuzní pumpa</w:t>
      </w:r>
    </w:p>
    <w:p w:rsidR="00396272" w:rsidRDefault="00396272" w:rsidP="00396272">
      <w:pPr>
        <w:spacing w:after="0" w:line="240" w:lineRule="auto"/>
        <w:ind w:firstLine="284"/>
      </w:pPr>
    </w:p>
    <w:p w:rsidR="00396272" w:rsidRDefault="00956792" w:rsidP="00956792">
      <w:pPr>
        <w:spacing w:after="0" w:line="240" w:lineRule="auto"/>
      </w:pPr>
      <w:r>
        <w:t>Pediatrie (děti + novorozenci)</w:t>
      </w:r>
    </w:p>
    <w:p w:rsidR="00396272" w:rsidRDefault="00396272" w:rsidP="0039627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>6 ks</w:t>
      </w:r>
      <w:r>
        <w:tab/>
        <w:t>Lineární dávkovač</w:t>
      </w:r>
      <w:r w:rsidR="00956792">
        <w:t xml:space="preserve"> (3 ks děti a 3 ks novorozenci)</w:t>
      </w:r>
    </w:p>
    <w:p w:rsidR="00396272" w:rsidRDefault="00396272" w:rsidP="0039627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>3 ks</w:t>
      </w:r>
      <w:r>
        <w:tab/>
        <w:t>Infuzní pumpa</w:t>
      </w:r>
    </w:p>
    <w:p w:rsidR="00F51658" w:rsidRDefault="00F51658" w:rsidP="00F51658">
      <w:pPr>
        <w:spacing w:after="0" w:line="240" w:lineRule="auto"/>
      </w:pPr>
    </w:p>
    <w:p w:rsidR="00956792" w:rsidRDefault="00956792" w:rsidP="00956792">
      <w:pPr>
        <w:spacing w:after="0"/>
      </w:pPr>
      <w:bookmarkStart w:id="1" w:name="_Hlk44495336"/>
      <w:r w:rsidRPr="00956792">
        <w:t xml:space="preserve">Interní oddělení </w:t>
      </w:r>
      <w:r>
        <w:t>–</w:t>
      </w:r>
      <w:r w:rsidRPr="00956792">
        <w:t xml:space="preserve"> JIP</w:t>
      </w:r>
    </w:p>
    <w:p w:rsidR="00956792" w:rsidRDefault="00956792" w:rsidP="0095679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>30 ks</w:t>
      </w:r>
      <w:r>
        <w:tab/>
        <w:t>Infuzní pumpa</w:t>
      </w:r>
    </w:p>
    <w:p w:rsidR="00956792" w:rsidRDefault="00956792" w:rsidP="00956792">
      <w:pPr>
        <w:pStyle w:val="Odstavecseseznamem"/>
        <w:numPr>
          <w:ilvl w:val="0"/>
          <w:numId w:val="6"/>
        </w:numPr>
        <w:spacing w:after="0" w:line="240" w:lineRule="auto"/>
        <w:ind w:firstLine="284"/>
      </w:pPr>
      <w:r>
        <w:t xml:space="preserve">4 ks </w:t>
      </w:r>
      <w:r>
        <w:tab/>
        <w:t>Dokovací stanice min. 4 pozice</w:t>
      </w:r>
    </w:p>
    <w:p w:rsidR="00956792" w:rsidRDefault="00956792">
      <w:pPr>
        <w:rPr>
          <w:b/>
        </w:rPr>
      </w:pPr>
    </w:p>
    <w:p w:rsidR="00BF0AF8" w:rsidRDefault="00BF0AF8">
      <w:pPr>
        <w:rPr>
          <w:b/>
        </w:rPr>
      </w:pPr>
      <w:r>
        <w:rPr>
          <w:b/>
        </w:rPr>
        <w:t>Zadavatelem požadované</w:t>
      </w:r>
      <w:r w:rsidR="00956792">
        <w:rPr>
          <w:b/>
        </w:rPr>
        <w:t xml:space="preserve"> minimální technické</w:t>
      </w:r>
      <w:r>
        <w:rPr>
          <w:b/>
        </w:rPr>
        <w:t xml:space="preserve"> </w:t>
      </w:r>
      <w:r w:rsidRPr="002D5CC3">
        <w:rPr>
          <w:b/>
        </w:rPr>
        <w:t>parametr</w:t>
      </w:r>
      <w:r w:rsidR="00956792">
        <w:rPr>
          <w:b/>
        </w:rPr>
        <w:t>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75F10" w:rsidRPr="00DB0774" w:rsidTr="00054695">
        <w:tc>
          <w:tcPr>
            <w:tcW w:w="6232" w:type="dxa"/>
            <w:shd w:val="clear" w:color="auto" w:fill="C2D69B" w:themeFill="accent3" w:themeFillTint="99"/>
            <w:vAlign w:val="center"/>
          </w:tcPr>
          <w:p w:rsidR="00B75F10" w:rsidRPr="00DB0774" w:rsidRDefault="00B75F10" w:rsidP="00B75F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DOKOVACÍ STANICE S MIN. 4 POZICEMI …. 4 ks</w:t>
            </w:r>
          </w:p>
        </w:tc>
        <w:tc>
          <w:tcPr>
            <w:tcW w:w="2830" w:type="dxa"/>
            <w:shd w:val="clear" w:color="auto" w:fill="C2D69B" w:themeFill="accent3" w:themeFillTint="99"/>
          </w:tcPr>
          <w:p w:rsidR="00B75F10" w:rsidRDefault="00B75F10" w:rsidP="00B75F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F10" w:rsidRDefault="00B75F10" w:rsidP="00B75F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ÚČASTNÍKEM NABÍZENÁ HODNOTA</w:t>
            </w:r>
          </w:p>
          <w:p w:rsidR="00B75F10" w:rsidRPr="00DB0774" w:rsidRDefault="00B75F10" w:rsidP="001413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10" w:rsidRPr="00073553" w:rsidTr="00054695">
        <w:tc>
          <w:tcPr>
            <w:tcW w:w="6232" w:type="dxa"/>
          </w:tcPr>
          <w:p w:rsidR="00B75F10" w:rsidRPr="00073553" w:rsidRDefault="00B75F10" w:rsidP="001413B8">
            <w:r>
              <w:t>Dokovací stanicí se rozumí</w:t>
            </w:r>
            <w:r w:rsidRPr="003C0409">
              <w:t xml:space="preserve"> zařízení sloužící k zapojení kombinace lineárních dávkovačů a infuzních pump do sestavy a zajištění společného napájení, </w:t>
            </w:r>
            <w:r w:rsidRPr="00DB0774">
              <w:t xml:space="preserve">možnost </w:t>
            </w:r>
            <w:r w:rsidRPr="003C0409">
              <w:t>monitorace přístrojů a programování těchto zařízení.</w:t>
            </w:r>
          </w:p>
        </w:tc>
        <w:tc>
          <w:tcPr>
            <w:tcW w:w="2830" w:type="dxa"/>
          </w:tcPr>
          <w:p w:rsidR="00B75F10" w:rsidRDefault="00B75F10" w:rsidP="001413B8"/>
        </w:tc>
      </w:tr>
      <w:tr w:rsidR="00B75F10" w:rsidRPr="003C0409" w:rsidTr="00054695">
        <w:tc>
          <w:tcPr>
            <w:tcW w:w="6232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  <w:r w:rsidRPr="003C0409">
              <w:rPr>
                <w:rFonts w:cstheme="minorHAnsi"/>
              </w:rPr>
              <w:t>Počet pozic pro lineární dávkovač nebo inf</w:t>
            </w:r>
            <w:r>
              <w:rPr>
                <w:rFonts w:cstheme="minorHAnsi"/>
              </w:rPr>
              <w:t>u</w:t>
            </w:r>
            <w:r w:rsidRPr="003C0409">
              <w:rPr>
                <w:rFonts w:cstheme="minorHAnsi"/>
              </w:rPr>
              <w:t xml:space="preserve">zní pumpu </w:t>
            </w:r>
            <w:r>
              <w:rPr>
                <w:rFonts w:cstheme="minorHAnsi"/>
              </w:rPr>
              <w:t>min. 4.</w:t>
            </w:r>
            <w:r w:rsidRPr="003C0409">
              <w:rPr>
                <w:rFonts w:cstheme="minorHAnsi"/>
              </w:rPr>
              <w:t xml:space="preserve"> (V případě modulárního systému bude nabídka obsahovat i koncové prvky požadovaného modulu</w:t>
            </w:r>
            <w:r>
              <w:rPr>
                <w:rFonts w:cstheme="minorHAnsi"/>
              </w:rPr>
              <w:t>.</w:t>
            </w:r>
            <w:r w:rsidRPr="003C0409">
              <w:rPr>
                <w:rFonts w:cstheme="minorHAnsi"/>
              </w:rPr>
              <w:t>)</w:t>
            </w:r>
          </w:p>
        </w:tc>
        <w:tc>
          <w:tcPr>
            <w:tcW w:w="2830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B75F10" w:rsidRPr="003C0409" w:rsidTr="00054695">
        <w:tc>
          <w:tcPr>
            <w:tcW w:w="6232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  <w:r>
              <w:rPr>
                <w:rFonts w:cstheme="minorHAnsi"/>
              </w:rPr>
              <w:t>Každá pozice</w:t>
            </w:r>
            <w:r w:rsidRPr="003C0409">
              <w:rPr>
                <w:rFonts w:cstheme="minorHAnsi"/>
              </w:rPr>
              <w:t xml:space="preserve"> dokovací stanice </w:t>
            </w:r>
            <w:r>
              <w:rPr>
                <w:rFonts w:cstheme="minorHAnsi"/>
              </w:rPr>
              <w:t>umožňuje</w:t>
            </w:r>
            <w:r w:rsidRPr="003C0409">
              <w:rPr>
                <w:rFonts w:cstheme="minorHAnsi"/>
              </w:rPr>
              <w:t xml:space="preserve"> vsazení libovolné</w:t>
            </w:r>
            <w:r>
              <w:rPr>
                <w:rFonts w:cstheme="minorHAnsi"/>
              </w:rPr>
              <w:t xml:space="preserve">ho typu přístroje – </w:t>
            </w:r>
            <w:r w:rsidRPr="003C0409">
              <w:rPr>
                <w:rFonts w:cstheme="minorHAnsi"/>
              </w:rPr>
              <w:t>infuzní pump</w:t>
            </w:r>
            <w:r>
              <w:rPr>
                <w:rFonts w:cstheme="minorHAnsi"/>
              </w:rPr>
              <w:t xml:space="preserve">y nebo </w:t>
            </w:r>
            <w:r w:rsidRPr="003C0409">
              <w:rPr>
                <w:rFonts w:cstheme="minorHAnsi"/>
              </w:rPr>
              <w:t>lineárníh</w:t>
            </w:r>
            <w:r>
              <w:rPr>
                <w:rFonts w:cstheme="minorHAnsi"/>
              </w:rPr>
              <w:t>o</w:t>
            </w:r>
            <w:r w:rsidRPr="003C0409">
              <w:rPr>
                <w:rFonts w:cstheme="minorHAnsi"/>
              </w:rPr>
              <w:t xml:space="preserve"> dávkova</w:t>
            </w:r>
            <w:r>
              <w:rPr>
                <w:rFonts w:cstheme="minorHAnsi"/>
              </w:rPr>
              <w:t>če</w:t>
            </w:r>
            <w:r w:rsidRPr="003C0409">
              <w:rPr>
                <w:rFonts w:cstheme="minorHAnsi"/>
              </w:rPr>
              <w:t>.</w:t>
            </w:r>
          </w:p>
        </w:tc>
        <w:tc>
          <w:tcPr>
            <w:tcW w:w="2830" w:type="dxa"/>
          </w:tcPr>
          <w:p w:rsidR="00B75F10" w:rsidRDefault="00B75F10" w:rsidP="001413B8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B75F10" w:rsidRPr="003C0409" w:rsidTr="00054695">
        <w:tc>
          <w:tcPr>
            <w:tcW w:w="6232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  <w:r w:rsidRPr="003C0409">
              <w:rPr>
                <w:rFonts w:cstheme="minorHAnsi"/>
              </w:rPr>
              <w:t>Vyjmutí libovolného přístroje ze stanice bez nutnosti manipulace s</w:t>
            </w:r>
            <w:r>
              <w:rPr>
                <w:rFonts w:cstheme="minorHAnsi"/>
              </w:rPr>
              <w:t> </w:t>
            </w:r>
            <w:r w:rsidRPr="003C0409">
              <w:rPr>
                <w:rFonts w:cstheme="minorHAnsi"/>
              </w:rPr>
              <w:t>ostatními přístroji.</w:t>
            </w:r>
          </w:p>
        </w:tc>
        <w:tc>
          <w:tcPr>
            <w:tcW w:w="2830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B75F10" w:rsidRPr="003C0409" w:rsidTr="00054695">
        <w:tc>
          <w:tcPr>
            <w:tcW w:w="6232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  <w:r w:rsidRPr="003C0409">
              <w:rPr>
                <w:rFonts w:cstheme="minorHAnsi"/>
              </w:rPr>
              <w:t>Napájení jednotlivých vložených přístrojů prostřednictvím dokovací stanice.</w:t>
            </w:r>
          </w:p>
        </w:tc>
        <w:tc>
          <w:tcPr>
            <w:tcW w:w="2830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B75F10" w:rsidRPr="003C0409" w:rsidTr="00054695">
        <w:tc>
          <w:tcPr>
            <w:tcW w:w="6232" w:type="dxa"/>
          </w:tcPr>
          <w:p w:rsidR="00B75F10" w:rsidRPr="003C0409" w:rsidRDefault="00054695" w:rsidP="001413B8">
            <w:pPr>
              <w:spacing w:after="60"/>
              <w:ind w:left="-40"/>
              <w:rPr>
                <w:rFonts w:cstheme="minorHAnsi"/>
              </w:rPr>
            </w:pPr>
            <w:r>
              <w:rPr>
                <w:rFonts w:cstheme="minorHAnsi"/>
              </w:rPr>
              <w:t>Přenos</w:t>
            </w:r>
            <w:r w:rsidR="00B75F10" w:rsidRPr="003C0409">
              <w:rPr>
                <w:rFonts w:cstheme="minorHAnsi"/>
              </w:rPr>
              <w:t xml:space="preserve"> dat o stavu připojených přístrojů do centrálního monitorovacího systému a do NIS přes </w:t>
            </w:r>
            <w:r w:rsidR="00B75F10">
              <w:rPr>
                <w:rFonts w:cstheme="minorHAnsi"/>
              </w:rPr>
              <w:t>pevnou</w:t>
            </w:r>
            <w:r w:rsidR="00B75F10" w:rsidRPr="003C0409">
              <w:rPr>
                <w:rFonts w:cstheme="minorHAnsi"/>
              </w:rPr>
              <w:t xml:space="preserve"> datovou síť bez nutnosti výměny celé dokovací stanice.</w:t>
            </w:r>
          </w:p>
        </w:tc>
        <w:tc>
          <w:tcPr>
            <w:tcW w:w="2830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B75F10" w:rsidRPr="003C0409" w:rsidTr="00054695">
        <w:tc>
          <w:tcPr>
            <w:tcW w:w="6232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  <w:r w:rsidRPr="003C0409">
              <w:rPr>
                <w:rFonts w:cstheme="minorHAnsi"/>
              </w:rPr>
              <w:t>Uchycení dokovací stanice na svislou tyč</w:t>
            </w:r>
            <w:r>
              <w:rPr>
                <w:rFonts w:cstheme="minorHAnsi"/>
              </w:rPr>
              <w:t xml:space="preserve"> i</w:t>
            </w:r>
            <w:r w:rsidRPr="003C0409">
              <w:rPr>
                <w:rFonts w:cstheme="minorHAnsi"/>
              </w:rPr>
              <w:t xml:space="preserve"> na euro lištu.</w:t>
            </w:r>
          </w:p>
        </w:tc>
        <w:tc>
          <w:tcPr>
            <w:tcW w:w="2830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B75F10" w:rsidRPr="003C0409" w:rsidTr="00054695">
        <w:tc>
          <w:tcPr>
            <w:tcW w:w="6232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  <w:r w:rsidRPr="003C0409">
              <w:rPr>
                <w:rFonts w:cstheme="minorHAnsi"/>
              </w:rPr>
              <w:lastRenderedPageBreak/>
              <w:t>Napájení stanice pomocí jediného kabelu.</w:t>
            </w:r>
          </w:p>
        </w:tc>
        <w:tc>
          <w:tcPr>
            <w:tcW w:w="2830" w:type="dxa"/>
          </w:tcPr>
          <w:p w:rsidR="00B75F10" w:rsidRPr="003C0409" w:rsidRDefault="00B75F10" w:rsidP="001413B8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B75F10" w:rsidRPr="00073553" w:rsidTr="00054695">
        <w:trPr>
          <w:trHeight w:val="930"/>
        </w:trPr>
        <w:tc>
          <w:tcPr>
            <w:tcW w:w="6232" w:type="dxa"/>
          </w:tcPr>
          <w:p w:rsidR="00B75F10" w:rsidRDefault="00B75F10" w:rsidP="001413B8">
            <w:r>
              <w:t>V rámci dodávky ke každé stanici:</w:t>
            </w:r>
          </w:p>
          <w:p w:rsidR="00B75F10" w:rsidRDefault="00B75F10" w:rsidP="001413B8">
            <w:pPr>
              <w:pStyle w:val="Odstavecseseznamem"/>
              <w:numPr>
                <w:ilvl w:val="0"/>
                <w:numId w:val="4"/>
              </w:numPr>
            </w:pPr>
            <w:r>
              <w:t>napájecí šňůra,</w:t>
            </w:r>
          </w:p>
          <w:p w:rsidR="00B75F10" w:rsidRPr="00073553" w:rsidRDefault="00B75F10" w:rsidP="001413B8">
            <w:pPr>
              <w:pStyle w:val="Odstavecseseznamem"/>
              <w:numPr>
                <w:ilvl w:val="0"/>
                <w:numId w:val="4"/>
              </w:numPr>
            </w:pPr>
            <w:r>
              <w:t>m</w:t>
            </w:r>
            <w:r w:rsidRPr="007A4534">
              <w:t>echanismus upevnění na infuzní stojan a eurolištu</w:t>
            </w:r>
            <w:r>
              <w:t>.</w:t>
            </w:r>
          </w:p>
        </w:tc>
        <w:tc>
          <w:tcPr>
            <w:tcW w:w="2830" w:type="dxa"/>
          </w:tcPr>
          <w:p w:rsidR="00B75F10" w:rsidRDefault="00B75F10" w:rsidP="001413B8"/>
        </w:tc>
      </w:tr>
      <w:bookmarkEnd w:id="1"/>
      <w:tr w:rsidR="00956792" w:rsidRPr="002D5CC3" w:rsidTr="00B00D82">
        <w:tc>
          <w:tcPr>
            <w:tcW w:w="6232" w:type="dxa"/>
            <w:shd w:val="clear" w:color="auto" w:fill="C2D69B" w:themeFill="accent3" w:themeFillTint="99"/>
            <w:vAlign w:val="center"/>
          </w:tcPr>
          <w:p w:rsidR="00956792" w:rsidRPr="00DB0774" w:rsidRDefault="00B00D82" w:rsidP="00B75F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DOKOVACÍ STANICE S MIN. 10 POZICEMI</w:t>
            </w:r>
            <w:r w:rsidR="00B75F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695">
              <w:rPr>
                <w:rFonts w:ascii="Arial" w:hAnsi="Arial" w:cs="Arial"/>
                <w:b/>
                <w:sz w:val="20"/>
                <w:szCs w:val="20"/>
              </w:rPr>
              <w:t xml:space="preserve">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6 ks</w:t>
            </w:r>
            <w:r w:rsidR="00B75F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shd w:val="clear" w:color="auto" w:fill="C2D69B" w:themeFill="accent3" w:themeFillTint="99"/>
          </w:tcPr>
          <w:p w:rsidR="00B00D82" w:rsidRDefault="00B00D82" w:rsidP="00B00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792" w:rsidRDefault="00553A0C" w:rsidP="00B00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ÚČASTNÍKEM </w:t>
            </w:r>
            <w:r w:rsidR="00B00D82">
              <w:rPr>
                <w:rFonts w:ascii="Arial" w:hAnsi="Arial" w:cs="Arial"/>
                <w:b/>
                <w:sz w:val="20"/>
                <w:szCs w:val="20"/>
              </w:rPr>
              <w:t>NABÍZENÁ HODNOTA</w:t>
            </w:r>
          </w:p>
          <w:p w:rsidR="00B00D82" w:rsidRPr="00DB0774" w:rsidRDefault="00B00D82" w:rsidP="00B00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073553" w:rsidRDefault="00956792" w:rsidP="00B00D82">
            <w:pPr>
              <w:jc w:val="both"/>
            </w:pPr>
            <w:r>
              <w:t>Dokovací stanicí se rozumí</w:t>
            </w:r>
            <w:r w:rsidRPr="003C0409">
              <w:t xml:space="preserve"> zařízení sloužící k zapojení kombinace lineárních dávkovačů a infuzních pump do sestavy a zajištění společného napájení, </w:t>
            </w:r>
            <w:r w:rsidRPr="00DB0774">
              <w:t xml:space="preserve">možnost </w:t>
            </w:r>
            <w:r w:rsidRPr="003C0409">
              <w:t>monitorace přístrojů a programování těchto zařízení.</w:t>
            </w:r>
          </w:p>
        </w:tc>
        <w:tc>
          <w:tcPr>
            <w:tcW w:w="2830" w:type="dxa"/>
          </w:tcPr>
          <w:p w:rsidR="00956792" w:rsidRDefault="00956792" w:rsidP="002B4539"/>
        </w:tc>
      </w:tr>
      <w:tr w:rsidR="00956792" w:rsidRPr="002D5CC3" w:rsidTr="00B00D82">
        <w:tc>
          <w:tcPr>
            <w:tcW w:w="6232" w:type="dxa"/>
          </w:tcPr>
          <w:p w:rsidR="00956792" w:rsidRPr="003C0409" w:rsidRDefault="00956792" w:rsidP="00B00D82">
            <w:pPr>
              <w:spacing w:after="60"/>
              <w:ind w:left="-40"/>
              <w:jc w:val="both"/>
              <w:rPr>
                <w:rFonts w:cstheme="minorHAnsi"/>
              </w:rPr>
            </w:pPr>
            <w:r w:rsidRPr="003C0409">
              <w:rPr>
                <w:rFonts w:cstheme="minorHAnsi"/>
              </w:rPr>
              <w:t>Počet pozic pro lineární dávkovač nebo inf</w:t>
            </w:r>
            <w:r>
              <w:rPr>
                <w:rFonts w:cstheme="minorHAnsi"/>
              </w:rPr>
              <w:t>u</w:t>
            </w:r>
            <w:r w:rsidRPr="003C0409">
              <w:rPr>
                <w:rFonts w:cstheme="minorHAnsi"/>
              </w:rPr>
              <w:t xml:space="preserve">zní pumpu </w:t>
            </w:r>
            <w:r>
              <w:rPr>
                <w:rFonts w:cstheme="minorHAnsi"/>
              </w:rPr>
              <w:t>min. 10.</w:t>
            </w:r>
            <w:r w:rsidRPr="003C0409">
              <w:rPr>
                <w:rFonts w:cstheme="minorHAnsi"/>
              </w:rPr>
              <w:t xml:space="preserve"> (V případě modulárního systému bude nabídka obsahovat i koncové prvky požadovaného modulu</w:t>
            </w:r>
            <w:r>
              <w:rPr>
                <w:rFonts w:cstheme="minorHAnsi"/>
              </w:rPr>
              <w:t>.</w:t>
            </w:r>
            <w:r w:rsidRPr="003C0409">
              <w:rPr>
                <w:rFonts w:cstheme="minorHAnsi"/>
              </w:rPr>
              <w:t>)</w:t>
            </w:r>
          </w:p>
        </w:tc>
        <w:tc>
          <w:tcPr>
            <w:tcW w:w="2830" w:type="dxa"/>
          </w:tcPr>
          <w:p w:rsidR="00956792" w:rsidRPr="003C0409" w:rsidRDefault="00956792" w:rsidP="002B4539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3C0409" w:rsidRDefault="00956792" w:rsidP="00B00D82">
            <w:pPr>
              <w:spacing w:after="60"/>
              <w:ind w:left="-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Každá pozice</w:t>
            </w:r>
            <w:r w:rsidRPr="003C0409">
              <w:rPr>
                <w:rFonts w:cstheme="minorHAnsi"/>
              </w:rPr>
              <w:t xml:space="preserve"> dokovací stanice </w:t>
            </w:r>
            <w:r>
              <w:rPr>
                <w:rFonts w:cstheme="minorHAnsi"/>
              </w:rPr>
              <w:t>umožňuje</w:t>
            </w:r>
            <w:r w:rsidRPr="003C0409">
              <w:rPr>
                <w:rFonts w:cstheme="minorHAnsi"/>
              </w:rPr>
              <w:t xml:space="preserve"> vsazení libovolné</w:t>
            </w:r>
            <w:r>
              <w:rPr>
                <w:rFonts w:cstheme="minorHAnsi"/>
              </w:rPr>
              <w:t xml:space="preserve">ho typu přístroje - </w:t>
            </w:r>
            <w:r w:rsidRPr="003C0409">
              <w:rPr>
                <w:rFonts w:cstheme="minorHAnsi"/>
              </w:rPr>
              <w:t>infuzní pump</w:t>
            </w:r>
            <w:r>
              <w:rPr>
                <w:rFonts w:cstheme="minorHAnsi"/>
              </w:rPr>
              <w:t xml:space="preserve">y nebo </w:t>
            </w:r>
            <w:r w:rsidRPr="003C0409">
              <w:rPr>
                <w:rFonts w:cstheme="minorHAnsi"/>
              </w:rPr>
              <w:t>lineárníh</w:t>
            </w:r>
            <w:r>
              <w:rPr>
                <w:rFonts w:cstheme="minorHAnsi"/>
              </w:rPr>
              <w:t>o</w:t>
            </w:r>
            <w:r w:rsidRPr="003C0409">
              <w:rPr>
                <w:rFonts w:cstheme="minorHAnsi"/>
              </w:rPr>
              <w:t xml:space="preserve"> dávkova</w:t>
            </w:r>
            <w:r>
              <w:rPr>
                <w:rFonts w:cstheme="minorHAnsi"/>
              </w:rPr>
              <w:t>če</w:t>
            </w:r>
            <w:r w:rsidRPr="003C0409">
              <w:rPr>
                <w:rFonts w:cstheme="minorHAnsi"/>
              </w:rPr>
              <w:t>.</w:t>
            </w:r>
          </w:p>
        </w:tc>
        <w:tc>
          <w:tcPr>
            <w:tcW w:w="2830" w:type="dxa"/>
          </w:tcPr>
          <w:p w:rsidR="00956792" w:rsidRDefault="00956792" w:rsidP="002B4539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3C0409" w:rsidRDefault="00956792" w:rsidP="00B00D82">
            <w:pPr>
              <w:spacing w:after="60"/>
              <w:ind w:left="-40"/>
              <w:jc w:val="both"/>
              <w:rPr>
                <w:rFonts w:cstheme="minorHAnsi"/>
              </w:rPr>
            </w:pPr>
            <w:r w:rsidRPr="003C0409">
              <w:rPr>
                <w:rFonts w:cstheme="minorHAnsi"/>
              </w:rPr>
              <w:t>Vyjmutí libovolného přístroje ze stanice bez nutnosti manipulace s ostatními přístroji.</w:t>
            </w:r>
          </w:p>
        </w:tc>
        <w:tc>
          <w:tcPr>
            <w:tcW w:w="2830" w:type="dxa"/>
          </w:tcPr>
          <w:p w:rsidR="00956792" w:rsidRPr="003C0409" w:rsidRDefault="00956792" w:rsidP="002B4539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3C0409" w:rsidRDefault="00956792" w:rsidP="00B00D82">
            <w:pPr>
              <w:spacing w:after="60"/>
              <w:ind w:left="-40"/>
              <w:jc w:val="both"/>
              <w:rPr>
                <w:rFonts w:cstheme="minorHAnsi"/>
              </w:rPr>
            </w:pPr>
            <w:r w:rsidRPr="003C0409">
              <w:rPr>
                <w:rFonts w:cstheme="minorHAnsi"/>
              </w:rPr>
              <w:t>Napájení jednotlivých vložených přístrojů prostřednictvím dokovací stanice.</w:t>
            </w:r>
          </w:p>
        </w:tc>
        <w:tc>
          <w:tcPr>
            <w:tcW w:w="2830" w:type="dxa"/>
          </w:tcPr>
          <w:p w:rsidR="00956792" w:rsidRPr="003C0409" w:rsidRDefault="00956792" w:rsidP="002B4539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3C0409" w:rsidRDefault="00B75F10" w:rsidP="00B00D82">
            <w:pPr>
              <w:spacing w:after="60"/>
              <w:ind w:left="-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Přenos</w:t>
            </w:r>
            <w:r w:rsidR="00956792" w:rsidRPr="003C0409">
              <w:rPr>
                <w:rFonts w:cstheme="minorHAnsi"/>
              </w:rPr>
              <w:t xml:space="preserve"> dat o stavu připojených přístrojů do centrálního monitorovacího systému a do NIS přes </w:t>
            </w:r>
            <w:r w:rsidR="00956792">
              <w:rPr>
                <w:rFonts w:cstheme="minorHAnsi"/>
              </w:rPr>
              <w:t>pevnou</w:t>
            </w:r>
            <w:r w:rsidR="00956792" w:rsidRPr="003C0409">
              <w:rPr>
                <w:rFonts w:cstheme="minorHAnsi"/>
              </w:rPr>
              <w:t xml:space="preserve"> datovou síť bez nutnosti výměny celé dokovací stanice.</w:t>
            </w:r>
          </w:p>
        </w:tc>
        <w:tc>
          <w:tcPr>
            <w:tcW w:w="2830" w:type="dxa"/>
          </w:tcPr>
          <w:p w:rsidR="00956792" w:rsidRPr="003C0409" w:rsidRDefault="00956792" w:rsidP="002B4539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3C0409" w:rsidRDefault="00956792" w:rsidP="002B4539">
            <w:pPr>
              <w:spacing w:after="60"/>
              <w:ind w:left="-40"/>
              <w:rPr>
                <w:rFonts w:cstheme="minorHAnsi"/>
              </w:rPr>
            </w:pPr>
            <w:r w:rsidRPr="003C0409">
              <w:rPr>
                <w:rFonts w:cstheme="minorHAnsi"/>
              </w:rPr>
              <w:t xml:space="preserve">Uchycení </w:t>
            </w:r>
            <w:r w:rsidR="00917F92">
              <w:rPr>
                <w:rFonts w:cstheme="minorHAnsi"/>
              </w:rPr>
              <w:t xml:space="preserve">do </w:t>
            </w:r>
            <w:r w:rsidRPr="003C0409">
              <w:rPr>
                <w:rFonts w:cstheme="minorHAnsi"/>
              </w:rPr>
              <w:t>dokovací stanice</w:t>
            </w:r>
            <w:r w:rsidR="00917F92">
              <w:rPr>
                <w:rFonts w:cstheme="minorHAnsi"/>
              </w:rPr>
              <w:t>,</w:t>
            </w:r>
            <w:r w:rsidRPr="003C0409">
              <w:rPr>
                <w:rFonts w:cstheme="minorHAnsi"/>
              </w:rPr>
              <w:t xml:space="preserve"> na svislou tyč</w:t>
            </w:r>
            <w:r>
              <w:rPr>
                <w:rFonts w:cstheme="minorHAnsi"/>
              </w:rPr>
              <w:t xml:space="preserve"> i</w:t>
            </w:r>
            <w:r w:rsidRPr="003C0409">
              <w:rPr>
                <w:rFonts w:cstheme="minorHAnsi"/>
              </w:rPr>
              <w:t xml:space="preserve"> na euro lištu.</w:t>
            </w:r>
          </w:p>
        </w:tc>
        <w:tc>
          <w:tcPr>
            <w:tcW w:w="2830" w:type="dxa"/>
          </w:tcPr>
          <w:p w:rsidR="00956792" w:rsidRPr="003C0409" w:rsidRDefault="00956792" w:rsidP="002B4539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Default="00956792" w:rsidP="003C0409">
            <w:r>
              <w:t>V rámci dodávky ke každé stanici:</w:t>
            </w:r>
          </w:p>
          <w:p w:rsidR="00956792" w:rsidRDefault="00956792" w:rsidP="003C0409">
            <w:pPr>
              <w:pStyle w:val="Odstavecseseznamem"/>
              <w:numPr>
                <w:ilvl w:val="0"/>
                <w:numId w:val="4"/>
              </w:numPr>
            </w:pPr>
            <w:r>
              <w:t>napájecí šňůra,</w:t>
            </w:r>
          </w:p>
          <w:p w:rsidR="00956792" w:rsidRPr="00073553" w:rsidRDefault="00956792" w:rsidP="00721CF8">
            <w:pPr>
              <w:pStyle w:val="Odstavecseseznamem"/>
              <w:numPr>
                <w:ilvl w:val="0"/>
                <w:numId w:val="4"/>
              </w:numPr>
            </w:pPr>
            <w:r>
              <w:t>m</w:t>
            </w:r>
            <w:r w:rsidRPr="007A4534">
              <w:t>echanismus upevnění na infuzní stojan a eurolištu</w:t>
            </w:r>
            <w:r>
              <w:t>.</w:t>
            </w:r>
          </w:p>
        </w:tc>
        <w:tc>
          <w:tcPr>
            <w:tcW w:w="2830" w:type="dxa"/>
          </w:tcPr>
          <w:p w:rsidR="00956792" w:rsidRDefault="00956792" w:rsidP="003C0409"/>
        </w:tc>
      </w:tr>
      <w:tr w:rsidR="00956792" w:rsidRPr="002D5CC3" w:rsidTr="00B00D82">
        <w:tc>
          <w:tcPr>
            <w:tcW w:w="6232" w:type="dxa"/>
            <w:shd w:val="clear" w:color="auto" w:fill="C2D69B" w:themeFill="accent3" w:themeFillTint="99"/>
          </w:tcPr>
          <w:p w:rsidR="00956792" w:rsidRDefault="00B75F10" w:rsidP="003C0409">
            <w:pPr>
              <w:rPr>
                <w:b/>
              </w:rPr>
            </w:pPr>
            <w:r>
              <w:rPr>
                <w:b/>
              </w:rPr>
              <w:t>LINEÁRNÍ DÁVKOVAČE …</w:t>
            </w:r>
            <w:r w:rsidR="0005469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00D82">
              <w:rPr>
                <w:b/>
              </w:rPr>
              <w:t>celkem 47 ks</w:t>
            </w:r>
          </w:p>
          <w:p w:rsidR="00B00D82" w:rsidRPr="00B00D82" w:rsidRDefault="00B00D82" w:rsidP="003C0409">
            <w:pPr>
              <w:rPr>
                <w:b/>
                <w:u w:val="single"/>
              </w:rPr>
            </w:pPr>
            <w:r w:rsidRPr="00B00D82">
              <w:rPr>
                <w:b/>
                <w:u w:val="single"/>
              </w:rPr>
              <w:t>z</w:t>
            </w:r>
            <w:r w:rsidR="00553A0C">
              <w:rPr>
                <w:b/>
                <w:u w:val="single"/>
              </w:rPr>
              <w:t>e</w:t>
            </w:r>
            <w:r w:rsidRPr="00B00D82">
              <w:rPr>
                <w:b/>
                <w:u w:val="single"/>
              </w:rPr>
              <w:t xml:space="preserve"> 47 ks </w:t>
            </w:r>
            <w:r>
              <w:rPr>
                <w:b/>
                <w:u w:val="single"/>
              </w:rPr>
              <w:t xml:space="preserve">lineárních dávkovačů </w:t>
            </w:r>
            <w:r w:rsidRPr="00B00D82">
              <w:rPr>
                <w:b/>
                <w:u w:val="single"/>
              </w:rPr>
              <w:t>bude:</w:t>
            </w:r>
          </w:p>
          <w:p w:rsidR="00956792" w:rsidRDefault="00956792" w:rsidP="003C040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0D82">
              <w:rPr>
                <w:b/>
              </w:rPr>
              <w:t xml:space="preserve"> - </w:t>
            </w:r>
            <w:r>
              <w:rPr>
                <w:b/>
              </w:rPr>
              <w:t>6ks Lineární dávkovač s režimem TIVA/TCI navíc k základním parametrům níže</w:t>
            </w:r>
          </w:p>
          <w:p w:rsidR="00956792" w:rsidRPr="007B427A" w:rsidRDefault="00956792" w:rsidP="003C040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00D82">
              <w:rPr>
                <w:b/>
              </w:rPr>
              <w:t xml:space="preserve">- </w:t>
            </w:r>
            <w:r>
              <w:rPr>
                <w:b/>
              </w:rPr>
              <w:t xml:space="preserve"> 3ks Lineární dávkovač s režimem PCA navíc k základním parametrům níže</w:t>
            </w:r>
          </w:p>
        </w:tc>
        <w:tc>
          <w:tcPr>
            <w:tcW w:w="2830" w:type="dxa"/>
            <w:shd w:val="clear" w:color="auto" w:fill="C2D69B" w:themeFill="accent3" w:themeFillTint="99"/>
          </w:tcPr>
          <w:p w:rsidR="00553A0C" w:rsidRDefault="00553A0C" w:rsidP="00553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ÚČASTNÍKEM NABÍZENÁ HODNOTA</w:t>
            </w:r>
          </w:p>
          <w:p w:rsidR="00956792" w:rsidRDefault="00956792" w:rsidP="003C0409">
            <w:pPr>
              <w:rPr>
                <w:b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Lineární dávkovač slouží k přesnému dávkování malých objemů léčiva pomocí jednorázových stříkaček neonatologickým i dospělým pacientům.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 xml:space="preserve">Přesné dávkování objemů pomocí jednorázových 3-dílných stříkaček s Luer-Lock od různých výrobců o objemech </w:t>
            </w:r>
            <w:r w:rsidRPr="007E7C0D">
              <w:rPr>
                <w:rFonts w:eastAsia="MS Mincho" w:cstheme="minorHAnsi"/>
                <w:strike/>
                <w:color w:val="FF0000"/>
                <w:lang w:eastAsia="ja-JP"/>
              </w:rPr>
              <w:t>5</w:t>
            </w:r>
            <w:r w:rsidRPr="007E7C0D">
              <w:rPr>
                <w:rFonts w:eastAsia="MS Mincho" w:cstheme="minorHAnsi"/>
                <w:strike/>
                <w:lang w:eastAsia="ja-JP"/>
              </w:rPr>
              <w:t>,</w:t>
            </w:r>
            <w:r w:rsidRPr="004263E1">
              <w:rPr>
                <w:rFonts w:eastAsia="MS Mincho" w:cstheme="minorHAnsi"/>
                <w:lang w:eastAsia="ja-JP"/>
              </w:rPr>
              <w:t> 10, 20, 50/60 ml.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C13DAC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C13DAC">
              <w:rPr>
                <w:rFonts w:eastAsia="MS Mincho" w:cstheme="minorHAnsi"/>
                <w:lang w:eastAsia="ja-JP"/>
              </w:rPr>
              <w:t>Možnost použití stříkaček min. B.Braun Omnifix, BD Plastipak uvedených v návodu k použití.</w:t>
            </w:r>
          </w:p>
        </w:tc>
        <w:tc>
          <w:tcPr>
            <w:tcW w:w="2830" w:type="dxa"/>
          </w:tcPr>
          <w:p w:rsidR="00956792" w:rsidRPr="00C13DAC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Knihovna výrobců a typů kompatibilních injekčních stříkaček.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Možnost výběru z min. 5 kalibrovaných stříkaček v reálném čase (tzn. bez dalších dodatečných překalibrování)</w:t>
            </w:r>
            <w:r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Automatická kontrola správnosti vložení a rozpoznání typu injekční stříkačky.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Zobrazení detekovaného typu injekční stříkačky na displeji.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Přesnost dávkování dle normy ± 2 %.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5C3A4D" w:rsidRDefault="00956792" w:rsidP="00E04BB3">
            <w:pPr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E04BB3">
              <w:rPr>
                <w:rFonts w:eastAsia="MS Mincho" w:cstheme="minorHAnsi"/>
                <w:lang w:eastAsia="ja-JP"/>
              </w:rPr>
              <w:t>Systém dvojí detekce správného uchycení stříkačky (čidlo založení v místě těla</w:t>
            </w:r>
            <w:r w:rsidR="00E04BB3" w:rsidRPr="00E04BB3">
              <w:rPr>
                <w:rFonts w:eastAsia="MS Mincho" w:cstheme="minorHAnsi"/>
                <w:lang w:eastAsia="ja-JP"/>
              </w:rPr>
              <w:t xml:space="preserve"> a pístu</w:t>
            </w:r>
            <w:r w:rsidRPr="00E04BB3">
              <w:rPr>
                <w:rFonts w:eastAsia="MS Mincho" w:cstheme="minorHAnsi"/>
                <w:lang w:eastAsia="ja-JP"/>
              </w:rPr>
              <w:t xml:space="preserve"> stříkačky)</w:t>
            </w:r>
          </w:p>
        </w:tc>
        <w:tc>
          <w:tcPr>
            <w:tcW w:w="2830" w:type="dxa"/>
          </w:tcPr>
          <w:p w:rsidR="00956792" w:rsidRPr="005C3A4D" w:rsidRDefault="00956792" w:rsidP="00457E77">
            <w:pPr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102574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lastRenderedPageBreak/>
              <w:t xml:space="preserve">Přímé zadávání parametrů infuze rychlost, objem, čas nebo automatický </w:t>
            </w:r>
            <w:r>
              <w:rPr>
                <w:rFonts w:eastAsia="MS Mincho" w:cstheme="minorHAnsi"/>
                <w:lang w:eastAsia="ja-JP"/>
              </w:rPr>
              <w:t>dopočet třetího parametru</w:t>
            </w:r>
            <w:r w:rsidRPr="009A26AE">
              <w:rPr>
                <w:rFonts w:eastAsia="MS Mincho" w:cstheme="minorHAnsi"/>
                <w:lang w:eastAsia="ja-JP"/>
              </w:rPr>
              <w:t xml:space="preserve"> dávkování</w:t>
            </w:r>
            <w:r>
              <w:rPr>
                <w:rFonts w:eastAsia="MS Mincho" w:cstheme="minorHAnsi"/>
                <w:lang w:eastAsia="ja-JP"/>
              </w:rPr>
              <w:t xml:space="preserve"> při zadání jakýchkoliv dvou parametrů</w:t>
            </w:r>
            <w:r w:rsidRPr="009A26AE"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DF5A03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 xml:space="preserve">Výpočet rychlosti dávky v mg, µg, ng, mmol, </w:t>
            </w:r>
            <w:r w:rsidRPr="007E7C0D">
              <w:rPr>
                <w:rFonts w:eastAsia="MS Mincho" w:cstheme="minorHAnsi"/>
                <w:strike/>
                <w:color w:val="FF0000"/>
                <w:lang w:eastAsia="ja-JP"/>
              </w:rPr>
              <w:t>mEq</w:t>
            </w:r>
            <w:r w:rsidRPr="004263E1">
              <w:rPr>
                <w:rFonts w:eastAsia="MS Mincho" w:cstheme="minorHAnsi"/>
                <w:lang w:eastAsia="ja-JP"/>
              </w:rPr>
              <w:t xml:space="preserve"> v závislosti na hmotnosti pacienta/čase/</w:t>
            </w:r>
            <w:r w:rsidRPr="007E7C0D">
              <w:rPr>
                <w:rFonts w:eastAsia="MS Mincho" w:cstheme="minorHAnsi"/>
                <w:strike/>
                <w:color w:val="FF0000"/>
                <w:lang w:eastAsia="ja-JP"/>
              </w:rPr>
              <w:t>povrchu těla pacienta</w:t>
            </w:r>
            <w:r w:rsidRPr="004263E1"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Nastavitelná rychlost dávkování v rozmezí min. 0,1 – 1200 ml/h.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 xml:space="preserve">Nastavitelný objem podávaného léčiva v rozmezí min. 0,1 – </w:t>
            </w:r>
            <w:r>
              <w:rPr>
                <w:rFonts w:eastAsia="MS Mincho" w:cstheme="minorHAnsi"/>
                <w:lang w:eastAsia="ja-JP"/>
              </w:rPr>
              <w:t>999,9</w:t>
            </w:r>
            <w:r w:rsidRPr="004263E1">
              <w:rPr>
                <w:rFonts w:eastAsia="MS Mincho" w:cstheme="minorHAnsi"/>
                <w:lang w:eastAsia="ja-JP"/>
              </w:rPr>
              <w:t xml:space="preserve"> ml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Bolus manuální i s přednastavením objemu/času.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Uživatelské nastavení limitace okluzního tlaku min. ve 3 úrovních.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Automatická redukce bolusového objemu po okluzi.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35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Interní paměť na seznam min. 200 léků, obsahující název, koncentraci, rychlost podávání a rychlost dávky vč. překročitelných a nepřekročitelných limitů, objem a rychlost podávání bolusu.</w:t>
            </w:r>
          </w:p>
        </w:tc>
        <w:tc>
          <w:tcPr>
            <w:tcW w:w="2830" w:type="dxa"/>
          </w:tcPr>
          <w:p w:rsidR="00956792" w:rsidRPr="004263E1" w:rsidRDefault="00956792" w:rsidP="002B4539">
            <w:pPr>
              <w:spacing w:after="60"/>
              <w:ind w:left="-35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Přehledný displej pro zobrazení důležitých parametrů infuze</w:t>
            </w:r>
            <w:r>
              <w:rPr>
                <w:rFonts w:eastAsia="MS Mincho" w:cstheme="minorHAnsi"/>
                <w:lang w:eastAsia="ja-JP"/>
              </w:rPr>
              <w:t xml:space="preserve">: </w:t>
            </w:r>
            <w:r w:rsidRPr="00836811">
              <w:rPr>
                <w:rFonts w:eastAsia="MS Mincho" w:cstheme="minorHAnsi"/>
                <w:lang w:eastAsia="ja-JP"/>
              </w:rPr>
              <w:t>rychlost infuze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zbývající čas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požadovaný objem a zbývající požadovaný objem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celkový podaný objem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nastavení okluzního tlaku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aktuálně nastavený tlak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stav baterie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název a koncentrace podávaného léčiva</w:t>
            </w:r>
            <w:r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7A4534">
              <w:t>Zobrazení názvu léčiva minimálně v délce 20 znaků</w:t>
            </w:r>
            <w:r>
              <w:t>.</w:t>
            </w:r>
          </w:p>
        </w:tc>
        <w:tc>
          <w:tcPr>
            <w:tcW w:w="2830" w:type="dxa"/>
          </w:tcPr>
          <w:p w:rsidR="00956792" w:rsidRPr="007A4534" w:rsidRDefault="00956792" w:rsidP="00B120B1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Uživatelsky aktivovatelná blokace přístroje proti neautorizovanému ovládání.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Regulace podsvícení displeje, noční režim s přednastavením časového rozsahu.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320D02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320D02">
              <w:rPr>
                <w:rFonts w:eastAsia="MS Mincho" w:cstheme="minorHAnsi"/>
                <w:lang w:eastAsia="ja-JP"/>
              </w:rPr>
              <w:t>Plnohodnotné ovládání přístroje pomocí fóliové klávesnice.</w:t>
            </w:r>
          </w:p>
        </w:tc>
        <w:tc>
          <w:tcPr>
            <w:tcW w:w="2830" w:type="dxa"/>
          </w:tcPr>
          <w:p w:rsidR="00956792" w:rsidRPr="00320D02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Plná lokalizace všech funkcí přístroje, veškerých textů na displeji, v českém jazyce.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Uchycení samostatného přístroje na infuzní stojan, euro lištu, do dokovací stanice nebo položení na vodorovnou plochu.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Optické a zvukové alarmy různých úrovní.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Alarmy minimálně: vybitá baterie, slabá baterie, odpojení od sítě, vnitřní porucha, okluze, předalarm kon</w:t>
            </w:r>
            <w:r>
              <w:rPr>
                <w:rFonts w:eastAsia="MS Mincho" w:cstheme="minorHAnsi"/>
                <w:lang w:eastAsia="ja-JP"/>
              </w:rPr>
              <w:t>ce dávkování, konec dávkování, špatné</w:t>
            </w:r>
            <w:r w:rsidRPr="004263E1">
              <w:rPr>
                <w:rFonts w:eastAsia="MS Mincho" w:cstheme="minorHAnsi"/>
                <w:lang w:eastAsia="ja-JP"/>
              </w:rPr>
              <w:t xml:space="preserve"> uložení stříkačky, vyjmutí stříkačky během dávkování</w:t>
            </w:r>
            <w:r>
              <w:rPr>
                <w:rFonts w:eastAsia="MS Mincho" w:cstheme="minorHAnsi"/>
                <w:lang w:eastAsia="ja-JP"/>
              </w:rPr>
              <w:t>, opakování alarmu při nečinnosti obsluhy</w:t>
            </w:r>
            <w:r w:rsidRPr="004263E1">
              <w:rPr>
                <w:rFonts w:eastAsia="MS Mincho" w:cstheme="minorHAnsi"/>
                <w:lang w:eastAsia="ja-JP"/>
              </w:rPr>
              <w:t>. Zastavení dávkování v případě významného alarmu.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Možnost zobrazení příčiny alarmu na displeji v českém jazyce.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Provoz z el. sítě (230 V, 50 Hz) a z interního akumulátoru.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Kapacita interního akumulátoru min. 10 hod. provozu při rychlosti dávkování min. 5ml/hod.</w:t>
            </w:r>
            <w:r>
              <w:rPr>
                <w:rFonts w:eastAsia="MS Mincho" w:cstheme="minorHAnsi"/>
                <w:lang w:eastAsia="ja-JP"/>
              </w:rPr>
              <w:t xml:space="preserve"> (Žádáme o uvedení kapacity vztažené k rychlosti 5ml/hod.)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Automatické dobíjení interního akumulátoru.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Dobití vybitého akumulátoru do plné kapacity max.</w:t>
            </w:r>
            <w:r>
              <w:rPr>
                <w:rFonts w:eastAsia="MS Mincho" w:cstheme="minorHAnsi"/>
                <w:lang w:eastAsia="ja-JP"/>
              </w:rPr>
              <w:t>6</w:t>
            </w:r>
            <w:r w:rsidRPr="004263E1">
              <w:rPr>
                <w:rFonts w:eastAsia="MS Mincho" w:cstheme="minorHAnsi"/>
                <w:lang w:eastAsia="ja-JP"/>
              </w:rPr>
              <w:t xml:space="preserve"> hodiny.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Nepřerušené dávkování při přechodu na bateriový zdroj energie nebo při přechodu z provozu na baterii na provoz ze sítě 230 V.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Interval pravidelných periodických prohlídek podle zákona č</w:t>
            </w:r>
            <w:r>
              <w:rPr>
                <w:rFonts w:eastAsia="MS Mincho" w:cstheme="minorHAnsi"/>
                <w:lang w:eastAsia="ja-JP"/>
              </w:rPr>
              <w:t>. 268/2014 Sb. minimálně 2 roky.</w:t>
            </w:r>
            <w:r w:rsidRPr="004263E1">
              <w:rPr>
                <w:rFonts w:eastAsia="MS Mincho" w:cstheme="minorHAnsi"/>
                <w:lang w:eastAsia="ja-JP"/>
              </w:rPr>
              <w:tab/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Hmotnost včetně akumulátoru max. 2,</w:t>
            </w:r>
            <w:r>
              <w:rPr>
                <w:rFonts w:eastAsia="MS Mincho" w:cstheme="minorHAnsi"/>
                <w:lang w:eastAsia="ja-JP"/>
              </w:rPr>
              <w:t>3</w:t>
            </w:r>
            <w:r w:rsidRPr="004263E1">
              <w:rPr>
                <w:rFonts w:eastAsia="MS Mincho" w:cstheme="minorHAnsi"/>
                <w:lang w:eastAsia="ja-JP"/>
              </w:rPr>
              <w:t xml:space="preserve"> kg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7A4534">
              <w:lastRenderedPageBreak/>
              <w:t>Stupeň krytí dle ČSN EN 60529 min</w:t>
            </w:r>
            <w:r>
              <w:t>imálně</w:t>
            </w:r>
            <w:r w:rsidRPr="007A4534">
              <w:t xml:space="preserve"> IP</w:t>
            </w:r>
            <w:r>
              <w:t>X2</w:t>
            </w:r>
            <w:r w:rsidRPr="007A4534">
              <w:t xml:space="preserve"> chránící přístroj proti zatečení desinfekce</w:t>
            </w:r>
            <w:r>
              <w:t xml:space="preserve"> nebo infuze</w:t>
            </w:r>
            <w:r w:rsidRPr="009A26AE"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7A4534" w:rsidRDefault="00956792" w:rsidP="00B120B1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Pohotovostní režim.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263E1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4263E1">
              <w:rPr>
                <w:rFonts w:eastAsia="MS Mincho" w:cstheme="minorHAnsi"/>
                <w:lang w:eastAsia="ja-JP"/>
              </w:rPr>
              <w:t>Režim KVO s více rychlostmi.</w:t>
            </w:r>
          </w:p>
        </w:tc>
        <w:tc>
          <w:tcPr>
            <w:tcW w:w="2830" w:type="dxa"/>
          </w:tcPr>
          <w:p w:rsidR="00956792" w:rsidRPr="004263E1" w:rsidRDefault="00956792" w:rsidP="00B120B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DF20A8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lang w:eastAsia="ja-JP"/>
              </w:rPr>
            </w:pPr>
            <w:r w:rsidRPr="00DF20A8">
              <w:rPr>
                <w:rFonts w:cstheme="minorHAnsi"/>
              </w:rPr>
              <w:t>Technické řešení přístroje za</w:t>
            </w:r>
            <w:r>
              <w:rPr>
                <w:rFonts w:cstheme="minorHAnsi"/>
              </w:rPr>
              <w:t>braňující</w:t>
            </w:r>
            <w:r w:rsidRPr="00DF20A8">
              <w:rPr>
                <w:rFonts w:cstheme="minorHAnsi"/>
              </w:rPr>
              <w:t xml:space="preserve"> podání nechtěného bolusu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0" w:type="dxa"/>
          </w:tcPr>
          <w:p w:rsidR="00956792" w:rsidRPr="00DF20A8" w:rsidRDefault="00956792" w:rsidP="00B120B1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DF20A8" w:rsidRDefault="00956792" w:rsidP="00B00D82">
            <w:pPr>
              <w:spacing w:after="60"/>
              <w:ind w:left="-40"/>
              <w:jc w:val="both"/>
              <w:rPr>
                <w:rFonts w:cstheme="minorHAnsi"/>
              </w:rPr>
            </w:pPr>
            <w:r w:rsidRPr="00E82664">
              <w:rPr>
                <w:rFonts w:cstheme="minorHAnsi"/>
              </w:rPr>
              <w:t>Funkce uvolnění přetlaku v lince při okluzi pro prevenci nechtěného bolusu po zprůchodnění dávkovací trasy (někdy označováno jako antibolus funkce)</w:t>
            </w:r>
          </w:p>
        </w:tc>
        <w:tc>
          <w:tcPr>
            <w:tcW w:w="2830" w:type="dxa"/>
          </w:tcPr>
          <w:p w:rsidR="00956792" w:rsidRPr="00E82664" w:rsidRDefault="00956792" w:rsidP="00B120B1">
            <w:pPr>
              <w:spacing w:after="60"/>
              <w:ind w:left="-40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57141C" w:rsidRDefault="00956792" w:rsidP="00B00D82">
            <w:pPr>
              <w:spacing w:after="60"/>
              <w:ind w:left="-40"/>
              <w:jc w:val="both"/>
              <w:rPr>
                <w:rFonts w:eastAsia="MS Mincho" w:cstheme="minorHAnsi"/>
                <w:color w:val="FF0000"/>
                <w:lang w:eastAsia="ja-JP"/>
              </w:rPr>
            </w:pPr>
            <w:r w:rsidRPr="007A4534">
              <w:t>Kompatibilita s</w:t>
            </w:r>
            <w:r>
              <w:t xml:space="preserve"> nabízenými </w:t>
            </w:r>
            <w:r w:rsidRPr="007A4534">
              <w:t>dokovacími stanicemi</w:t>
            </w:r>
            <w:r>
              <w:t>.</w:t>
            </w:r>
          </w:p>
        </w:tc>
        <w:tc>
          <w:tcPr>
            <w:tcW w:w="2830" w:type="dxa"/>
          </w:tcPr>
          <w:p w:rsidR="00956792" w:rsidRPr="007A4534" w:rsidRDefault="00956792" w:rsidP="00B120B1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Default="00956792" w:rsidP="00B00D82">
            <w:pPr>
              <w:jc w:val="both"/>
            </w:pPr>
            <w:r>
              <w:t>V rámci dodávky ke každému přístroji je:</w:t>
            </w:r>
          </w:p>
          <w:p w:rsidR="00956792" w:rsidRDefault="00956792" w:rsidP="00B00D82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napájecí šňůra,</w:t>
            </w:r>
          </w:p>
          <w:p w:rsidR="00956792" w:rsidRDefault="00956792" w:rsidP="00B00D82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m</w:t>
            </w:r>
            <w:r w:rsidRPr="007A4534">
              <w:t xml:space="preserve">echanismus upevnění na infuzní stojan a eurolištu </w:t>
            </w:r>
            <w:r>
              <w:t>jako</w:t>
            </w:r>
            <w:r w:rsidRPr="007A4534">
              <w:t xml:space="preserve"> součást přístroje</w:t>
            </w:r>
            <w:r>
              <w:t>,</w:t>
            </w:r>
          </w:p>
          <w:p w:rsidR="00956792" w:rsidRPr="00073553" w:rsidRDefault="00956792" w:rsidP="00B00D82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7F481D">
              <w:t>madlo přístroje.</w:t>
            </w:r>
          </w:p>
        </w:tc>
        <w:tc>
          <w:tcPr>
            <w:tcW w:w="2830" w:type="dxa"/>
          </w:tcPr>
          <w:p w:rsidR="00956792" w:rsidRDefault="00956792" w:rsidP="001315E1"/>
        </w:tc>
      </w:tr>
      <w:tr w:rsidR="00956792" w:rsidRPr="002D5CC3" w:rsidTr="00B00D82">
        <w:tc>
          <w:tcPr>
            <w:tcW w:w="6232" w:type="dxa"/>
            <w:shd w:val="clear" w:color="auto" w:fill="C2D69B" w:themeFill="accent3" w:themeFillTint="99"/>
          </w:tcPr>
          <w:p w:rsidR="00956792" w:rsidRPr="00CC4D75" w:rsidRDefault="00054695" w:rsidP="00B75F10">
            <w:pPr>
              <w:rPr>
                <w:b/>
              </w:rPr>
            </w:pPr>
            <w:r>
              <w:rPr>
                <w:b/>
              </w:rPr>
              <w:t>INFUZNÍ PUMPA</w:t>
            </w:r>
            <w:r w:rsidR="00B75F10">
              <w:rPr>
                <w:b/>
              </w:rPr>
              <w:t xml:space="preserve"> … 63 ks</w:t>
            </w:r>
          </w:p>
        </w:tc>
        <w:tc>
          <w:tcPr>
            <w:tcW w:w="2830" w:type="dxa"/>
            <w:shd w:val="clear" w:color="auto" w:fill="C2D69B" w:themeFill="accent3" w:themeFillTint="99"/>
          </w:tcPr>
          <w:p w:rsidR="00054695" w:rsidRDefault="00054695" w:rsidP="00054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ÚČASTNÍKEM NABÍZENÁ HODNOTA</w:t>
            </w:r>
          </w:p>
          <w:p w:rsidR="00956792" w:rsidRDefault="00956792" w:rsidP="001315E1">
            <w:pPr>
              <w:rPr>
                <w:b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1315E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Infuzní</w:t>
            </w:r>
            <w:r>
              <w:rPr>
                <w:rFonts w:eastAsia="MS Mincho" w:cstheme="minorHAnsi"/>
                <w:lang w:eastAsia="ja-JP"/>
              </w:rPr>
              <w:t xml:space="preserve"> pumpa</w:t>
            </w:r>
            <w:r w:rsidRPr="009A26AE">
              <w:rPr>
                <w:rFonts w:eastAsia="MS Mincho" w:cstheme="minorHAnsi"/>
                <w:lang w:eastAsia="ja-JP"/>
              </w:rPr>
              <w:t xml:space="preserve"> umožňuj</w:t>
            </w:r>
            <w:r>
              <w:rPr>
                <w:rFonts w:eastAsia="MS Mincho" w:cstheme="minorHAnsi"/>
                <w:lang w:eastAsia="ja-JP"/>
              </w:rPr>
              <w:t>e</w:t>
            </w:r>
            <w:r w:rsidRPr="009A26AE">
              <w:rPr>
                <w:rFonts w:eastAsia="MS Mincho" w:cstheme="minorHAnsi"/>
                <w:lang w:eastAsia="ja-JP"/>
              </w:rPr>
              <w:t xml:space="preserve"> přesné dávkování léčiva a infuzních roztoků u neonatologických i dospělých pacientů.</w:t>
            </w:r>
          </w:p>
        </w:tc>
        <w:tc>
          <w:tcPr>
            <w:tcW w:w="2830" w:type="dxa"/>
          </w:tcPr>
          <w:p w:rsidR="00956792" w:rsidRPr="009A26AE" w:rsidRDefault="00956792" w:rsidP="001315E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1315E1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>
              <w:t>I</w:t>
            </w:r>
            <w:r w:rsidRPr="007D21AB">
              <w:t xml:space="preserve">nfuzní sety </w:t>
            </w:r>
            <w:r>
              <w:t xml:space="preserve">bezpečnostní </w:t>
            </w:r>
            <w:r w:rsidRPr="007D21AB">
              <w:t>se silikonovým pumpovacím segmentem, s garantovanou přesností dávkování minimálně 72 hodin</w:t>
            </w:r>
            <w:r>
              <w:t>.</w:t>
            </w:r>
          </w:p>
        </w:tc>
        <w:tc>
          <w:tcPr>
            <w:tcW w:w="2830" w:type="dxa"/>
          </w:tcPr>
          <w:p w:rsidR="00956792" w:rsidRDefault="00956792" w:rsidP="001315E1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DF7E39" w:rsidRDefault="00956792" w:rsidP="00055C15">
            <w:pPr>
              <w:ind w:left="-35"/>
              <w:rPr>
                <w:rFonts w:cstheme="minorHAnsi"/>
              </w:rPr>
            </w:pPr>
            <w:r w:rsidRPr="00DF7E39">
              <w:rPr>
                <w:rFonts w:cstheme="minorHAnsi"/>
              </w:rPr>
              <w:t xml:space="preserve">Možnost použití stejného přístroje pro podání </w:t>
            </w:r>
            <w:r w:rsidR="00E04BB3">
              <w:rPr>
                <w:rFonts w:cstheme="minorHAnsi"/>
              </w:rPr>
              <w:t>par</w:t>
            </w:r>
            <w:r w:rsidRPr="00DF7E39">
              <w:rPr>
                <w:rFonts w:cstheme="minorHAnsi"/>
              </w:rPr>
              <w:t>enterální výživy, transfúze.</w:t>
            </w:r>
          </w:p>
        </w:tc>
        <w:tc>
          <w:tcPr>
            <w:tcW w:w="2830" w:type="dxa"/>
          </w:tcPr>
          <w:p w:rsidR="00956792" w:rsidRPr="00DF7E39" w:rsidRDefault="00956792" w:rsidP="00055C15">
            <w:pPr>
              <w:ind w:left="-35"/>
              <w:rPr>
                <w:rFonts w:cstheme="minorHAnsi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cstheme="minorHAnsi"/>
              </w:rPr>
            </w:pPr>
            <w:r w:rsidRPr="009A26AE">
              <w:rPr>
                <w:rFonts w:eastAsia="MS Mincho" w:cstheme="minorHAnsi"/>
                <w:lang w:eastAsia="ja-JP"/>
              </w:rPr>
              <w:t>Automatická kontrola správnosti vložení infuzního setu.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cstheme="minorHAnsi"/>
              </w:rPr>
            </w:pPr>
            <w:r w:rsidRPr="009A26AE">
              <w:rPr>
                <w:rFonts w:eastAsia="MS Mincho" w:cstheme="minorHAnsi"/>
                <w:lang w:eastAsia="ja-JP"/>
              </w:rPr>
              <w:t>Přesnost dávkování dle normy ± 5 %.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Detekce vzduchu v systému.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102574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 xml:space="preserve">Přímé zadávání parametrů infuze rychlost, objem, čas nebo automatický </w:t>
            </w:r>
            <w:r>
              <w:rPr>
                <w:rFonts w:eastAsia="MS Mincho" w:cstheme="minorHAnsi"/>
                <w:lang w:eastAsia="ja-JP"/>
              </w:rPr>
              <w:t>dopočet třetího parametru</w:t>
            </w:r>
            <w:r w:rsidRPr="009A26AE">
              <w:rPr>
                <w:rFonts w:eastAsia="MS Mincho" w:cstheme="minorHAnsi"/>
                <w:lang w:eastAsia="ja-JP"/>
              </w:rPr>
              <w:t xml:space="preserve"> dávkování</w:t>
            </w:r>
            <w:r>
              <w:rPr>
                <w:rFonts w:eastAsia="MS Mincho" w:cstheme="minorHAnsi"/>
                <w:lang w:eastAsia="ja-JP"/>
              </w:rPr>
              <w:t xml:space="preserve"> při zadání jakýchkoliv dvou parametrů</w:t>
            </w:r>
            <w:r w:rsidRPr="009A26AE"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 xml:space="preserve">Výpočet rychlosti dávky v mg, µg, mmol, </w:t>
            </w:r>
            <w:r w:rsidRPr="000375E1">
              <w:rPr>
                <w:rFonts w:eastAsia="MS Mincho" w:cstheme="minorHAnsi"/>
                <w:strike/>
                <w:color w:val="FF0000"/>
                <w:lang w:eastAsia="ja-JP"/>
              </w:rPr>
              <w:t>mEq</w:t>
            </w:r>
            <w:r w:rsidRPr="009A26AE">
              <w:rPr>
                <w:rFonts w:eastAsia="MS Mincho" w:cstheme="minorHAnsi"/>
                <w:lang w:eastAsia="ja-JP"/>
              </w:rPr>
              <w:t xml:space="preserve"> v závislosti na hmotnosti pacienta/čase</w:t>
            </w:r>
            <w:r w:rsidRPr="000375E1">
              <w:rPr>
                <w:rFonts w:eastAsia="MS Mincho" w:cstheme="minorHAnsi"/>
                <w:strike/>
                <w:color w:val="FF0000"/>
                <w:lang w:eastAsia="ja-JP"/>
              </w:rPr>
              <w:t>/povrchu těla pacienta</w:t>
            </w:r>
            <w:r w:rsidRPr="009A26AE"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4B6E68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4B6E68">
              <w:rPr>
                <w:rFonts w:eastAsia="MS Mincho" w:cstheme="minorHAnsi"/>
                <w:lang w:eastAsia="ja-JP"/>
              </w:rPr>
              <w:t>Nastavitelná rychlost dávkování v rozmezí min. 1 – 999 ml/h.</w:t>
            </w:r>
          </w:p>
        </w:tc>
        <w:tc>
          <w:tcPr>
            <w:tcW w:w="2830" w:type="dxa"/>
          </w:tcPr>
          <w:p w:rsidR="00956792" w:rsidRPr="004B6E68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Nastavitelný objem podávaného roztoku v rozmezí min. 0,1 – 2000 ml.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Bolus manuální i s přednastavením objemu/času.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Uživatelské nastavení limitace okluzního tlaku min. ve 3 úrovních.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Automatická redukce bolusového objemu po okluzi.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Interní paměť na seznam min. 200 léků, obsahující název, koncentraci, rychlost podávání a rychlost dávky vč. překročitelných a nepřekročitelných limitů</w:t>
            </w:r>
            <w:r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Přehledný displej pro zobrazení důležitých parametrů infuze</w:t>
            </w:r>
            <w:r>
              <w:rPr>
                <w:rFonts w:eastAsia="MS Mincho" w:cstheme="minorHAnsi"/>
                <w:lang w:eastAsia="ja-JP"/>
              </w:rPr>
              <w:t xml:space="preserve">: </w:t>
            </w:r>
            <w:r w:rsidRPr="00836811">
              <w:rPr>
                <w:rFonts w:eastAsia="MS Mincho" w:cstheme="minorHAnsi"/>
                <w:lang w:eastAsia="ja-JP"/>
              </w:rPr>
              <w:t>rychlost infuze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zbývající čas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požadovaný objem a zbývající požadovaný objem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celkový podaný objem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nastavení okluzního tlaku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aktuálně nastavený tlak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stav baterie</w:t>
            </w:r>
            <w:r>
              <w:rPr>
                <w:rFonts w:eastAsia="MS Mincho" w:cstheme="minorHAnsi"/>
                <w:lang w:eastAsia="ja-JP"/>
              </w:rPr>
              <w:t xml:space="preserve">, </w:t>
            </w:r>
            <w:r w:rsidRPr="00836811">
              <w:rPr>
                <w:rFonts w:eastAsia="MS Mincho" w:cstheme="minorHAnsi"/>
                <w:lang w:eastAsia="ja-JP"/>
              </w:rPr>
              <w:t>název a koncentrace podávaného léčiva</w:t>
            </w:r>
            <w:r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7A4534">
              <w:t>Zobrazení názvu léčiva minimálně v délce 20 znaků</w:t>
            </w:r>
            <w:r>
              <w:t>.</w:t>
            </w:r>
          </w:p>
        </w:tc>
        <w:tc>
          <w:tcPr>
            <w:tcW w:w="2830" w:type="dxa"/>
          </w:tcPr>
          <w:p w:rsidR="00956792" w:rsidRPr="007A4534" w:rsidRDefault="00956792" w:rsidP="00055C15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Uživatelsky aktivovatelná blokace přístroje proti neautorizovanému ovládání.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lastRenderedPageBreak/>
              <w:t>Regulace podsvícení displeje, noční režim s přednastavením časového rozsahu.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320D02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320D02">
              <w:rPr>
                <w:rFonts w:eastAsia="MS Mincho" w:cstheme="minorHAnsi"/>
                <w:lang w:eastAsia="ja-JP"/>
              </w:rPr>
              <w:t>Plnohodnotné ovládání přístroje pomocí fóliové klávesnice.</w:t>
            </w:r>
          </w:p>
        </w:tc>
        <w:tc>
          <w:tcPr>
            <w:tcW w:w="2830" w:type="dxa"/>
          </w:tcPr>
          <w:p w:rsidR="00956792" w:rsidRPr="00320D02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Plná lokalizace všech funkcí přístroje, veškerých textů na displeji, v českém jazyce.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Uchycení samostatného přístroje na infuzní stojan, euro lištu, do dokovací stanice nebo položení na vodorovnou plochu.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Optické a zvukové alarmy různých úrovní.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7A4534">
              <w:t>Nastavení úrovně hlasitosti akustického alarmu</w:t>
            </w:r>
            <w:r>
              <w:t>.</w:t>
            </w:r>
          </w:p>
        </w:tc>
        <w:tc>
          <w:tcPr>
            <w:tcW w:w="2830" w:type="dxa"/>
          </w:tcPr>
          <w:p w:rsidR="00956792" w:rsidRPr="007A4534" w:rsidRDefault="00956792" w:rsidP="00055C15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Alarmy minimálně: vybitá baterie, slabá baterie, odpojení od sítě, vnitřní porucha, okluze nad i pod pumpou, vzduch v setu, otevřená dvířka</w:t>
            </w:r>
            <w:r>
              <w:rPr>
                <w:rFonts w:eastAsia="MS Mincho" w:cstheme="minorHAnsi"/>
                <w:lang w:eastAsia="ja-JP"/>
              </w:rPr>
              <w:t>, blízký konec podání, konec podání, požadovaný objem dodán, opakování alarmu při nečinnosti obsluhy</w:t>
            </w:r>
            <w:r w:rsidRPr="009A26AE">
              <w:rPr>
                <w:rFonts w:eastAsia="MS Mincho" w:cstheme="minorHAnsi"/>
                <w:lang w:eastAsia="ja-JP"/>
              </w:rPr>
              <w:t>. Zastavení dávkování v případě významného alarmu.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Možnost zobrazení příčiny alarmu na displeji v českém jazyce.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Provoz z el. sítě (230 V, 50 Hz) a z interního akumulátoru.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Kapacita interního akumulátoru min. 6 hodin provozu při rychlosti dávkování 25 ml/h.</w:t>
            </w:r>
            <w:r>
              <w:rPr>
                <w:rFonts w:eastAsia="MS Mincho" w:cstheme="minorHAnsi"/>
                <w:lang w:eastAsia="ja-JP"/>
              </w:rPr>
              <w:t xml:space="preserve"> (Žádáme o uvedení kapacity vztažené k rychlosti 25ml/hod.)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Automatické dobíjení interního akumulátoru.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Dobití vybitého akumulátoru do plné kapacity max.</w:t>
            </w:r>
            <w:r>
              <w:rPr>
                <w:rFonts w:eastAsia="MS Mincho" w:cstheme="minorHAnsi"/>
                <w:lang w:eastAsia="ja-JP"/>
              </w:rPr>
              <w:t xml:space="preserve"> 6</w:t>
            </w:r>
            <w:r w:rsidRPr="009A26AE">
              <w:rPr>
                <w:rFonts w:eastAsia="MS Mincho" w:cstheme="minorHAnsi"/>
                <w:lang w:eastAsia="ja-JP"/>
              </w:rPr>
              <w:t xml:space="preserve"> hodiny.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Nepřerušené dávkování při přechodu na bateriový zdroj energie nebo při přechodu z provozu na baterii na provoz ze sítě 230 V</w:t>
            </w:r>
            <w:r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35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Interval pravidelných periodických prohlídek podle zákona č</w:t>
            </w:r>
            <w:r>
              <w:rPr>
                <w:rFonts w:eastAsia="MS Mincho" w:cstheme="minorHAnsi"/>
                <w:lang w:eastAsia="ja-JP"/>
              </w:rPr>
              <w:t>. 268/2014 Sb. minimálně 2 roky.</w:t>
            </w:r>
            <w:r w:rsidRPr="009A26AE">
              <w:rPr>
                <w:rFonts w:eastAsia="MS Mincho" w:cstheme="minorHAnsi"/>
                <w:lang w:eastAsia="ja-JP"/>
              </w:rPr>
              <w:tab/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Hmotnost včetně akumulátoru max</w:t>
            </w:r>
            <w:r>
              <w:rPr>
                <w:rFonts w:eastAsia="MS Mincho" w:cstheme="minorHAnsi"/>
                <w:lang w:eastAsia="ja-JP"/>
              </w:rPr>
              <w:t>.</w:t>
            </w:r>
            <w:r w:rsidRPr="009A26AE">
              <w:rPr>
                <w:rFonts w:eastAsia="MS Mincho" w:cstheme="minorHAnsi"/>
                <w:lang w:eastAsia="ja-JP"/>
              </w:rPr>
              <w:t xml:space="preserve"> 2,</w:t>
            </w:r>
            <w:r>
              <w:rPr>
                <w:rFonts w:eastAsia="MS Mincho" w:cstheme="minorHAnsi"/>
                <w:lang w:eastAsia="ja-JP"/>
              </w:rPr>
              <w:t>2</w:t>
            </w:r>
            <w:r w:rsidRPr="009A26AE">
              <w:rPr>
                <w:rFonts w:eastAsia="MS Mincho" w:cstheme="minorHAnsi"/>
                <w:lang w:eastAsia="ja-JP"/>
              </w:rPr>
              <w:t xml:space="preserve"> kg</w:t>
            </w:r>
            <w:r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7A4534">
              <w:t>Stupeň krytí dle ČSN EN 60529 min</w:t>
            </w:r>
            <w:r>
              <w:t>imálně</w:t>
            </w:r>
            <w:r w:rsidRPr="007A4534">
              <w:t xml:space="preserve"> IP</w:t>
            </w:r>
            <w:r>
              <w:t>X2</w:t>
            </w:r>
            <w:r w:rsidRPr="007A4534">
              <w:t xml:space="preserve"> chránící přístroj proti zatečení desinfekce</w:t>
            </w:r>
            <w:r>
              <w:t xml:space="preserve"> nebo infuze</w:t>
            </w:r>
            <w:r w:rsidRPr="009A26AE">
              <w:rPr>
                <w:rFonts w:eastAsia="MS Mincho" w:cstheme="minorHAnsi"/>
                <w:lang w:eastAsia="ja-JP"/>
              </w:rPr>
              <w:t>.</w:t>
            </w:r>
          </w:p>
        </w:tc>
        <w:tc>
          <w:tcPr>
            <w:tcW w:w="2830" w:type="dxa"/>
          </w:tcPr>
          <w:p w:rsidR="00956792" w:rsidRPr="007A4534" w:rsidRDefault="00956792" w:rsidP="00055C15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Pohotovostní režim.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Režim KVO s více rychlostmi.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745689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745689">
              <w:rPr>
                <w:rFonts w:eastAsia="MS Mincho" w:cstheme="minorHAnsi"/>
                <w:lang w:eastAsia="ja-JP"/>
              </w:rPr>
              <w:t>Zabránění samovolného průtoku infuze do pacienta při otevření dvířek přístroje.</w:t>
            </w:r>
          </w:p>
        </w:tc>
        <w:tc>
          <w:tcPr>
            <w:tcW w:w="2830" w:type="dxa"/>
          </w:tcPr>
          <w:p w:rsidR="00956792" w:rsidRPr="00745689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745689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745689">
              <w:rPr>
                <w:rFonts w:eastAsia="MS Mincho" w:cstheme="minorHAnsi"/>
                <w:lang w:eastAsia="ja-JP"/>
              </w:rPr>
              <w:t>Zabránění samovolného průtoku infuze do pacienta při nečinnosti přístroje.</w:t>
            </w:r>
          </w:p>
        </w:tc>
        <w:tc>
          <w:tcPr>
            <w:tcW w:w="2830" w:type="dxa"/>
          </w:tcPr>
          <w:p w:rsidR="00956792" w:rsidRPr="00745689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E541D9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E541D9">
              <w:rPr>
                <w:rFonts w:eastAsia="MS Mincho" w:cstheme="minorHAnsi"/>
                <w:lang w:eastAsia="ja-JP"/>
              </w:rPr>
              <w:t>Zabránění samovolného průtoku infuze do pacienta při vyjmutí bezpečnostního infuzního setu z přístroje.</w:t>
            </w:r>
          </w:p>
        </w:tc>
        <w:tc>
          <w:tcPr>
            <w:tcW w:w="2830" w:type="dxa"/>
          </w:tcPr>
          <w:p w:rsidR="00956792" w:rsidRPr="00E541D9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Provoz pumpy bez kapkového čidla s bezpečnou detekcí konce infuze (prázdného vaku/lahve).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  <w:r w:rsidRPr="009A26AE">
              <w:rPr>
                <w:rFonts w:eastAsia="MS Mincho" w:cstheme="minorHAnsi"/>
                <w:lang w:eastAsia="ja-JP"/>
              </w:rPr>
              <w:t>Integrovaná ochranná membrána peristaltiky proti zatečení kapalin do přístroje uživatelsky vizuálně kontrolovatelná.</w:t>
            </w:r>
          </w:p>
        </w:tc>
        <w:tc>
          <w:tcPr>
            <w:tcW w:w="2830" w:type="dxa"/>
          </w:tcPr>
          <w:p w:rsidR="00956792" w:rsidRPr="009A26AE" w:rsidRDefault="00956792" w:rsidP="00055C15">
            <w:pPr>
              <w:spacing w:after="60"/>
              <w:ind w:left="-40"/>
              <w:rPr>
                <w:rFonts w:eastAsia="MS Mincho" w:cstheme="minorHAnsi"/>
                <w:lang w:eastAsia="ja-JP"/>
              </w:rPr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Pr="001D7F4C" w:rsidRDefault="00956792" w:rsidP="00055C15">
            <w:pPr>
              <w:spacing w:after="60"/>
              <w:ind w:left="-40"/>
              <w:rPr>
                <w:rFonts w:eastAsia="MS Mincho" w:cstheme="minorHAnsi"/>
                <w:color w:val="FF0000"/>
                <w:lang w:eastAsia="ja-JP"/>
              </w:rPr>
            </w:pPr>
            <w:r w:rsidRPr="007A4534">
              <w:t>Kompatibilita s</w:t>
            </w:r>
            <w:r>
              <w:t xml:space="preserve"> nabízenými </w:t>
            </w:r>
            <w:r w:rsidRPr="007A4534">
              <w:t>dokovacími stanicemi</w:t>
            </w:r>
            <w:r>
              <w:t>.</w:t>
            </w:r>
          </w:p>
        </w:tc>
        <w:tc>
          <w:tcPr>
            <w:tcW w:w="2830" w:type="dxa"/>
          </w:tcPr>
          <w:p w:rsidR="00956792" w:rsidRPr="007A4534" w:rsidRDefault="00956792" w:rsidP="00055C15">
            <w:pPr>
              <w:spacing w:after="60"/>
              <w:ind w:left="-40"/>
            </w:pPr>
          </w:p>
        </w:tc>
      </w:tr>
      <w:tr w:rsidR="00956792" w:rsidRPr="002D5CC3" w:rsidTr="00B00D82">
        <w:tc>
          <w:tcPr>
            <w:tcW w:w="6232" w:type="dxa"/>
          </w:tcPr>
          <w:p w:rsidR="00956792" w:rsidRDefault="00956792" w:rsidP="00055C15">
            <w:r>
              <w:t>V rámci dodávky ke každému přístroji je:</w:t>
            </w:r>
          </w:p>
          <w:p w:rsidR="00956792" w:rsidRDefault="00956792" w:rsidP="00055C15">
            <w:pPr>
              <w:pStyle w:val="Odstavecseseznamem"/>
              <w:numPr>
                <w:ilvl w:val="0"/>
                <w:numId w:val="4"/>
              </w:numPr>
            </w:pPr>
            <w:r>
              <w:t>napájecí šňůra,</w:t>
            </w:r>
          </w:p>
          <w:p w:rsidR="00956792" w:rsidRDefault="00956792" w:rsidP="00055C15">
            <w:pPr>
              <w:pStyle w:val="Odstavecseseznamem"/>
              <w:numPr>
                <w:ilvl w:val="0"/>
                <w:numId w:val="4"/>
              </w:numPr>
            </w:pPr>
            <w:r>
              <w:t>m</w:t>
            </w:r>
            <w:r w:rsidRPr="007A4534">
              <w:t xml:space="preserve">echanismus upevnění na infuzní stojan a eurolištu </w:t>
            </w:r>
            <w:r>
              <w:t>jako</w:t>
            </w:r>
            <w:r w:rsidRPr="007A4534">
              <w:t xml:space="preserve"> součást přístroje</w:t>
            </w:r>
            <w:r>
              <w:t>,</w:t>
            </w:r>
          </w:p>
          <w:p w:rsidR="00956792" w:rsidRPr="00073553" w:rsidRDefault="00956792" w:rsidP="00055C15">
            <w:pPr>
              <w:pStyle w:val="Odstavecseseznamem"/>
              <w:numPr>
                <w:ilvl w:val="0"/>
                <w:numId w:val="4"/>
              </w:numPr>
            </w:pPr>
            <w:r w:rsidRPr="007F481D">
              <w:t>madlo přístroje.</w:t>
            </w:r>
          </w:p>
        </w:tc>
        <w:tc>
          <w:tcPr>
            <w:tcW w:w="2830" w:type="dxa"/>
          </w:tcPr>
          <w:p w:rsidR="00956792" w:rsidRDefault="00956792" w:rsidP="00055C15"/>
        </w:tc>
      </w:tr>
    </w:tbl>
    <w:p w:rsidR="00810F68" w:rsidRDefault="00810F68"/>
    <w:p w:rsidR="00054695" w:rsidRDefault="00054695"/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6091"/>
        <w:gridCol w:w="2985"/>
      </w:tblGrid>
      <w:tr w:rsidR="00054695" w:rsidRPr="00E05748" w:rsidTr="00054695">
        <w:tc>
          <w:tcPr>
            <w:tcW w:w="6091" w:type="dxa"/>
            <w:shd w:val="clear" w:color="auto" w:fill="C2D69B" w:themeFill="accent3" w:themeFillTint="99"/>
          </w:tcPr>
          <w:p w:rsidR="00054695" w:rsidRPr="00E05748" w:rsidRDefault="00054695" w:rsidP="001413B8">
            <w:pPr>
              <w:rPr>
                <w:b/>
              </w:rPr>
            </w:pPr>
            <w:r w:rsidRPr="00E05748">
              <w:rPr>
                <w:b/>
              </w:rPr>
              <w:t xml:space="preserve">Ostatní </w:t>
            </w:r>
          </w:p>
        </w:tc>
        <w:tc>
          <w:tcPr>
            <w:tcW w:w="2985" w:type="dxa"/>
            <w:shd w:val="clear" w:color="auto" w:fill="C2D69B" w:themeFill="accent3" w:themeFillTint="99"/>
          </w:tcPr>
          <w:p w:rsidR="00054695" w:rsidRDefault="00054695" w:rsidP="00054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ÚČASTNÍKEM NABÍZENÁ HODNOTA</w:t>
            </w:r>
          </w:p>
          <w:p w:rsidR="00054695" w:rsidRPr="00E05748" w:rsidRDefault="00054695" w:rsidP="001413B8">
            <w:pPr>
              <w:rPr>
                <w:b/>
              </w:rPr>
            </w:pPr>
          </w:p>
        </w:tc>
      </w:tr>
      <w:tr w:rsidR="00054695" w:rsidTr="00054695">
        <w:trPr>
          <w:trHeight w:val="70"/>
        </w:trPr>
        <w:tc>
          <w:tcPr>
            <w:tcW w:w="6091" w:type="dxa"/>
          </w:tcPr>
          <w:p w:rsidR="00054695" w:rsidRDefault="00054695" w:rsidP="001413B8">
            <w:r>
              <w:t>Záruka na přístroj min. 24 měsíců.</w:t>
            </w:r>
          </w:p>
        </w:tc>
        <w:tc>
          <w:tcPr>
            <w:tcW w:w="2985" w:type="dxa"/>
          </w:tcPr>
          <w:p w:rsidR="00054695" w:rsidRDefault="00054695" w:rsidP="001413B8"/>
        </w:tc>
      </w:tr>
      <w:tr w:rsidR="00054695" w:rsidTr="00054695">
        <w:trPr>
          <w:trHeight w:val="70"/>
        </w:trPr>
        <w:tc>
          <w:tcPr>
            <w:tcW w:w="6091" w:type="dxa"/>
          </w:tcPr>
          <w:p w:rsidR="00054695" w:rsidRDefault="00054695" w:rsidP="001413B8">
            <w:r>
              <w:t>Pravidelné prohlídky (bezpečnostně technická kontrola dle z. 268/2014 Sb.), validace, revize a opravy prováděné v rámci záruky bezplatně.</w:t>
            </w:r>
          </w:p>
        </w:tc>
        <w:tc>
          <w:tcPr>
            <w:tcW w:w="2985" w:type="dxa"/>
          </w:tcPr>
          <w:p w:rsidR="00054695" w:rsidRDefault="00054695" w:rsidP="001413B8"/>
        </w:tc>
      </w:tr>
      <w:tr w:rsidR="00054695" w:rsidTr="00054695">
        <w:trPr>
          <w:trHeight w:val="70"/>
        </w:trPr>
        <w:tc>
          <w:tcPr>
            <w:tcW w:w="6091" w:type="dxa"/>
          </w:tcPr>
          <w:p w:rsidR="00054695" w:rsidRDefault="00054695" w:rsidP="001413B8">
            <w:r>
              <w:t>Součástí nabídky bude:</w:t>
            </w:r>
          </w:p>
          <w:p w:rsidR="00054695" w:rsidRDefault="00054695" w:rsidP="001413B8">
            <w:pPr>
              <w:pStyle w:val="Odstavecseseznamem"/>
              <w:numPr>
                <w:ilvl w:val="0"/>
                <w:numId w:val="3"/>
              </w:numPr>
            </w:pPr>
            <w:r>
              <w:t>prohlášení o shodě</w:t>
            </w:r>
          </w:p>
          <w:p w:rsidR="00054695" w:rsidRDefault="00054695" w:rsidP="001413B8">
            <w:pPr>
              <w:pStyle w:val="Odstavecseseznamem"/>
              <w:numPr>
                <w:ilvl w:val="0"/>
                <w:numId w:val="3"/>
              </w:numPr>
            </w:pPr>
            <w:r>
              <w:t>autorizace výrobce k distribuci a servisu nabízeného zařízení</w:t>
            </w:r>
          </w:p>
          <w:p w:rsidR="00054695" w:rsidRDefault="00054695" w:rsidP="001413B8">
            <w:pPr>
              <w:pStyle w:val="Odstavecseseznamem"/>
              <w:numPr>
                <w:ilvl w:val="0"/>
                <w:numId w:val="3"/>
              </w:numPr>
            </w:pPr>
            <w:r>
              <w:t>návod k obsluze v českém jazyce v elektronické podobě (CD)</w:t>
            </w:r>
          </w:p>
          <w:p w:rsidR="00054695" w:rsidRDefault="00054695" w:rsidP="001413B8">
            <w:pPr>
              <w:pStyle w:val="Odstavecseseznamem"/>
              <w:numPr>
                <w:ilvl w:val="0"/>
                <w:numId w:val="3"/>
              </w:numPr>
            </w:pPr>
            <w:r>
              <w:t>doklad osvědčující způsobilost k prodeji, distribuci a servisu zdravotnických prostředků (doklad o registraci dle z. č. 268/2014 Sb. o zdravotnických prostředcích) pro dodavatele a doklad o notifikaci ZP dle z. č. 268/2014 Sb.</w:t>
            </w:r>
          </w:p>
        </w:tc>
        <w:tc>
          <w:tcPr>
            <w:tcW w:w="2985" w:type="dxa"/>
          </w:tcPr>
          <w:p w:rsidR="00054695" w:rsidRDefault="00054695" w:rsidP="001413B8"/>
        </w:tc>
      </w:tr>
    </w:tbl>
    <w:p w:rsidR="00054695" w:rsidRDefault="00054695"/>
    <w:p w:rsidR="00052496" w:rsidRDefault="00052496"/>
    <w:p w:rsidR="00052496" w:rsidRDefault="00052496"/>
    <w:sectPr w:rsidR="00052496" w:rsidSect="00BF0AF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C6" w:rsidRDefault="001D7DC6" w:rsidP="00261134">
      <w:pPr>
        <w:spacing w:after="0" w:line="240" w:lineRule="auto"/>
      </w:pPr>
      <w:r>
        <w:separator/>
      </w:r>
    </w:p>
  </w:endnote>
  <w:endnote w:type="continuationSeparator" w:id="0">
    <w:p w:rsidR="001D7DC6" w:rsidRDefault="001D7DC6" w:rsidP="00261134">
      <w:pPr>
        <w:spacing w:after="0" w:line="240" w:lineRule="auto"/>
      </w:pPr>
      <w:r>
        <w:continuationSeparator/>
      </w:r>
    </w:p>
  </w:endnote>
  <w:endnote w:type="continuationNotice" w:id="1">
    <w:p w:rsidR="001D7DC6" w:rsidRDefault="001D7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C6" w:rsidRDefault="001D7DC6" w:rsidP="00261134">
      <w:pPr>
        <w:spacing w:after="0" w:line="240" w:lineRule="auto"/>
      </w:pPr>
      <w:r>
        <w:separator/>
      </w:r>
    </w:p>
  </w:footnote>
  <w:footnote w:type="continuationSeparator" w:id="0">
    <w:p w:rsidR="001D7DC6" w:rsidRDefault="001D7DC6" w:rsidP="00261134">
      <w:pPr>
        <w:spacing w:after="0" w:line="240" w:lineRule="auto"/>
      </w:pPr>
      <w:r>
        <w:continuationSeparator/>
      </w:r>
    </w:p>
  </w:footnote>
  <w:footnote w:type="continuationNotice" w:id="1">
    <w:p w:rsidR="001D7DC6" w:rsidRDefault="001D7D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DDB"/>
    <w:multiLevelType w:val="hybridMultilevel"/>
    <w:tmpl w:val="E73474C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A8A"/>
    <w:multiLevelType w:val="hybridMultilevel"/>
    <w:tmpl w:val="90CC4E48"/>
    <w:lvl w:ilvl="0" w:tplc="0F72FF1C">
      <w:numFmt w:val="bullet"/>
      <w:lvlText w:val="-"/>
      <w:lvlJc w:val="left"/>
      <w:pPr>
        <w:ind w:left="3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" w15:restartNumberingAfterBreak="0">
    <w:nsid w:val="116864F7"/>
    <w:multiLevelType w:val="hybridMultilevel"/>
    <w:tmpl w:val="21309A0C"/>
    <w:lvl w:ilvl="0" w:tplc="3D4C1DC2">
      <w:numFmt w:val="bullet"/>
      <w:lvlText w:val="-"/>
      <w:lvlJc w:val="left"/>
      <w:pPr>
        <w:ind w:left="3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 w15:restartNumberingAfterBreak="0">
    <w:nsid w:val="150F086E"/>
    <w:multiLevelType w:val="hybridMultilevel"/>
    <w:tmpl w:val="0A7EDD94"/>
    <w:lvl w:ilvl="0" w:tplc="D7B25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7ABE"/>
    <w:multiLevelType w:val="hybridMultilevel"/>
    <w:tmpl w:val="1032B588"/>
    <w:lvl w:ilvl="0" w:tplc="15140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32C32"/>
    <w:multiLevelType w:val="hybridMultilevel"/>
    <w:tmpl w:val="9B825006"/>
    <w:lvl w:ilvl="0" w:tplc="7326F58C">
      <w:start w:val="1"/>
      <w:numFmt w:val="upperLetter"/>
      <w:lvlText w:val="%1)"/>
      <w:lvlJc w:val="left"/>
      <w:pPr>
        <w:ind w:left="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5" w:hanging="360"/>
      </w:pPr>
    </w:lvl>
    <w:lvl w:ilvl="2" w:tplc="0405001B" w:tentative="1">
      <w:start w:val="1"/>
      <w:numFmt w:val="lowerRoman"/>
      <w:lvlText w:val="%3."/>
      <w:lvlJc w:val="right"/>
      <w:pPr>
        <w:ind w:left="1765" w:hanging="180"/>
      </w:pPr>
    </w:lvl>
    <w:lvl w:ilvl="3" w:tplc="0405000F" w:tentative="1">
      <w:start w:val="1"/>
      <w:numFmt w:val="decimal"/>
      <w:lvlText w:val="%4."/>
      <w:lvlJc w:val="left"/>
      <w:pPr>
        <w:ind w:left="2485" w:hanging="360"/>
      </w:pPr>
    </w:lvl>
    <w:lvl w:ilvl="4" w:tplc="04050019" w:tentative="1">
      <w:start w:val="1"/>
      <w:numFmt w:val="lowerLetter"/>
      <w:lvlText w:val="%5."/>
      <w:lvlJc w:val="left"/>
      <w:pPr>
        <w:ind w:left="3205" w:hanging="360"/>
      </w:pPr>
    </w:lvl>
    <w:lvl w:ilvl="5" w:tplc="0405001B" w:tentative="1">
      <w:start w:val="1"/>
      <w:numFmt w:val="lowerRoman"/>
      <w:lvlText w:val="%6."/>
      <w:lvlJc w:val="right"/>
      <w:pPr>
        <w:ind w:left="3925" w:hanging="180"/>
      </w:pPr>
    </w:lvl>
    <w:lvl w:ilvl="6" w:tplc="0405000F" w:tentative="1">
      <w:start w:val="1"/>
      <w:numFmt w:val="decimal"/>
      <w:lvlText w:val="%7."/>
      <w:lvlJc w:val="left"/>
      <w:pPr>
        <w:ind w:left="4645" w:hanging="360"/>
      </w:pPr>
    </w:lvl>
    <w:lvl w:ilvl="7" w:tplc="04050019" w:tentative="1">
      <w:start w:val="1"/>
      <w:numFmt w:val="lowerLetter"/>
      <w:lvlText w:val="%8."/>
      <w:lvlJc w:val="left"/>
      <w:pPr>
        <w:ind w:left="5365" w:hanging="360"/>
      </w:pPr>
    </w:lvl>
    <w:lvl w:ilvl="8" w:tplc="0405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 w15:restartNumberingAfterBreak="0">
    <w:nsid w:val="4765403A"/>
    <w:multiLevelType w:val="hybridMultilevel"/>
    <w:tmpl w:val="3D4AAB54"/>
    <w:lvl w:ilvl="0" w:tplc="9FCA8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1B81"/>
    <w:multiLevelType w:val="hybridMultilevel"/>
    <w:tmpl w:val="CF50CC00"/>
    <w:lvl w:ilvl="0" w:tplc="58A4F1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1C02"/>
    <w:multiLevelType w:val="hybridMultilevel"/>
    <w:tmpl w:val="947E2158"/>
    <w:lvl w:ilvl="0" w:tplc="A238CC0A">
      <w:start w:val="1"/>
      <w:numFmt w:val="upperLetter"/>
      <w:lvlText w:val="%1)"/>
      <w:lvlJc w:val="left"/>
      <w:pPr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C2DB6"/>
    <w:multiLevelType w:val="hybridMultilevel"/>
    <w:tmpl w:val="2E7A6F9C"/>
    <w:lvl w:ilvl="0" w:tplc="BCCA47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3EFF"/>
    <w:multiLevelType w:val="hybridMultilevel"/>
    <w:tmpl w:val="7ADA8068"/>
    <w:lvl w:ilvl="0" w:tplc="3B5A686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6E48"/>
    <w:multiLevelType w:val="hybridMultilevel"/>
    <w:tmpl w:val="9A4CFA4E"/>
    <w:lvl w:ilvl="0" w:tplc="F3EAE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43"/>
    <w:rsid w:val="000008F9"/>
    <w:rsid w:val="000053EB"/>
    <w:rsid w:val="00005B3C"/>
    <w:rsid w:val="00006391"/>
    <w:rsid w:val="00012F30"/>
    <w:rsid w:val="00015594"/>
    <w:rsid w:val="00020A1D"/>
    <w:rsid w:val="0002411C"/>
    <w:rsid w:val="00026E09"/>
    <w:rsid w:val="000303C2"/>
    <w:rsid w:val="000312F7"/>
    <w:rsid w:val="00036931"/>
    <w:rsid w:val="000375E1"/>
    <w:rsid w:val="00042B0B"/>
    <w:rsid w:val="00044C47"/>
    <w:rsid w:val="000518E3"/>
    <w:rsid w:val="00052496"/>
    <w:rsid w:val="000525AA"/>
    <w:rsid w:val="00053EEB"/>
    <w:rsid w:val="00054695"/>
    <w:rsid w:val="00055C15"/>
    <w:rsid w:val="00060A77"/>
    <w:rsid w:val="000739A8"/>
    <w:rsid w:val="00073E10"/>
    <w:rsid w:val="0007555A"/>
    <w:rsid w:val="000779DF"/>
    <w:rsid w:val="00081B24"/>
    <w:rsid w:val="00087A0F"/>
    <w:rsid w:val="000928D3"/>
    <w:rsid w:val="000A24E3"/>
    <w:rsid w:val="000A45B6"/>
    <w:rsid w:val="000B5A9D"/>
    <w:rsid w:val="000B635C"/>
    <w:rsid w:val="000C670F"/>
    <w:rsid w:val="000C70F1"/>
    <w:rsid w:val="000D3513"/>
    <w:rsid w:val="000D48B5"/>
    <w:rsid w:val="000D6361"/>
    <w:rsid w:val="000E2926"/>
    <w:rsid w:val="000F0477"/>
    <w:rsid w:val="000F2289"/>
    <w:rsid w:val="000F5F9B"/>
    <w:rsid w:val="00101173"/>
    <w:rsid w:val="00101C94"/>
    <w:rsid w:val="00102574"/>
    <w:rsid w:val="00103B74"/>
    <w:rsid w:val="001230AE"/>
    <w:rsid w:val="001236A8"/>
    <w:rsid w:val="001236F7"/>
    <w:rsid w:val="001252DB"/>
    <w:rsid w:val="001315E1"/>
    <w:rsid w:val="001415EB"/>
    <w:rsid w:val="00146770"/>
    <w:rsid w:val="001477F5"/>
    <w:rsid w:val="00171233"/>
    <w:rsid w:val="00174AA7"/>
    <w:rsid w:val="001864EE"/>
    <w:rsid w:val="00192900"/>
    <w:rsid w:val="001A0A2E"/>
    <w:rsid w:val="001A2C0E"/>
    <w:rsid w:val="001B0682"/>
    <w:rsid w:val="001C0DC0"/>
    <w:rsid w:val="001D53F2"/>
    <w:rsid w:val="001D7C38"/>
    <w:rsid w:val="001D7DC6"/>
    <w:rsid w:val="001D7F4C"/>
    <w:rsid w:val="001E23D8"/>
    <w:rsid w:val="001E787F"/>
    <w:rsid w:val="001F010B"/>
    <w:rsid w:val="00201137"/>
    <w:rsid w:val="00206910"/>
    <w:rsid w:val="0022094F"/>
    <w:rsid w:val="002219E1"/>
    <w:rsid w:val="00222F9F"/>
    <w:rsid w:val="00224B59"/>
    <w:rsid w:val="0023108F"/>
    <w:rsid w:val="00231823"/>
    <w:rsid w:val="002322EB"/>
    <w:rsid w:val="0023375D"/>
    <w:rsid w:val="00240251"/>
    <w:rsid w:val="002407B7"/>
    <w:rsid w:val="00242229"/>
    <w:rsid w:val="002429C9"/>
    <w:rsid w:val="00254CD2"/>
    <w:rsid w:val="0025521C"/>
    <w:rsid w:val="00255FB2"/>
    <w:rsid w:val="00255FFA"/>
    <w:rsid w:val="00257FBC"/>
    <w:rsid w:val="00261134"/>
    <w:rsid w:val="0027317B"/>
    <w:rsid w:val="00275BF9"/>
    <w:rsid w:val="002841AF"/>
    <w:rsid w:val="00284B84"/>
    <w:rsid w:val="00291608"/>
    <w:rsid w:val="00292FA7"/>
    <w:rsid w:val="00293244"/>
    <w:rsid w:val="002B1F9E"/>
    <w:rsid w:val="002B4539"/>
    <w:rsid w:val="002B5F49"/>
    <w:rsid w:val="002C6152"/>
    <w:rsid w:val="002C76B8"/>
    <w:rsid w:val="002D0841"/>
    <w:rsid w:val="002D51C5"/>
    <w:rsid w:val="002D5CC3"/>
    <w:rsid w:val="002E1846"/>
    <w:rsid w:val="002E246C"/>
    <w:rsid w:val="002E5AE9"/>
    <w:rsid w:val="002E6FFB"/>
    <w:rsid w:val="002E7FFB"/>
    <w:rsid w:val="002F0B1B"/>
    <w:rsid w:val="002F1323"/>
    <w:rsid w:val="002F1E17"/>
    <w:rsid w:val="00300A7B"/>
    <w:rsid w:val="0030134A"/>
    <w:rsid w:val="003018B0"/>
    <w:rsid w:val="0030273E"/>
    <w:rsid w:val="00313F9D"/>
    <w:rsid w:val="0031766D"/>
    <w:rsid w:val="00320D02"/>
    <w:rsid w:val="003253E4"/>
    <w:rsid w:val="00325617"/>
    <w:rsid w:val="003278B0"/>
    <w:rsid w:val="00327AA2"/>
    <w:rsid w:val="00330A0D"/>
    <w:rsid w:val="00335203"/>
    <w:rsid w:val="00337D69"/>
    <w:rsid w:val="0034129E"/>
    <w:rsid w:val="00347FD5"/>
    <w:rsid w:val="0035107A"/>
    <w:rsid w:val="00351F99"/>
    <w:rsid w:val="003530F4"/>
    <w:rsid w:val="00354197"/>
    <w:rsid w:val="003543E5"/>
    <w:rsid w:val="0035667C"/>
    <w:rsid w:val="003653F3"/>
    <w:rsid w:val="0037141E"/>
    <w:rsid w:val="003800CF"/>
    <w:rsid w:val="00383071"/>
    <w:rsid w:val="00387691"/>
    <w:rsid w:val="0039105D"/>
    <w:rsid w:val="00393165"/>
    <w:rsid w:val="00396272"/>
    <w:rsid w:val="003A0803"/>
    <w:rsid w:val="003A4C19"/>
    <w:rsid w:val="003A5D0B"/>
    <w:rsid w:val="003A6F26"/>
    <w:rsid w:val="003A7F20"/>
    <w:rsid w:val="003B1319"/>
    <w:rsid w:val="003B56D6"/>
    <w:rsid w:val="003B6115"/>
    <w:rsid w:val="003C0409"/>
    <w:rsid w:val="003C0B8A"/>
    <w:rsid w:val="003C128C"/>
    <w:rsid w:val="003C7671"/>
    <w:rsid w:val="003D1E1F"/>
    <w:rsid w:val="003E0708"/>
    <w:rsid w:val="003E3642"/>
    <w:rsid w:val="003E6A0B"/>
    <w:rsid w:val="003F18D9"/>
    <w:rsid w:val="003F3DFC"/>
    <w:rsid w:val="003F7507"/>
    <w:rsid w:val="003F7A60"/>
    <w:rsid w:val="0040118B"/>
    <w:rsid w:val="00401267"/>
    <w:rsid w:val="0040571C"/>
    <w:rsid w:val="00406550"/>
    <w:rsid w:val="0041081C"/>
    <w:rsid w:val="00411D7E"/>
    <w:rsid w:val="00415365"/>
    <w:rsid w:val="004206C2"/>
    <w:rsid w:val="0042385E"/>
    <w:rsid w:val="004242C2"/>
    <w:rsid w:val="004263E1"/>
    <w:rsid w:val="00430F64"/>
    <w:rsid w:val="00431695"/>
    <w:rsid w:val="00454F97"/>
    <w:rsid w:val="0045556B"/>
    <w:rsid w:val="00457E3B"/>
    <w:rsid w:val="00457E77"/>
    <w:rsid w:val="00462B81"/>
    <w:rsid w:val="0046718F"/>
    <w:rsid w:val="00467A19"/>
    <w:rsid w:val="004748D9"/>
    <w:rsid w:val="0047625C"/>
    <w:rsid w:val="00477707"/>
    <w:rsid w:val="00492B5E"/>
    <w:rsid w:val="004A31CC"/>
    <w:rsid w:val="004B18B6"/>
    <w:rsid w:val="004B1EA2"/>
    <w:rsid w:val="004B6CB8"/>
    <w:rsid w:val="004B6E68"/>
    <w:rsid w:val="004D3CF4"/>
    <w:rsid w:val="004D4355"/>
    <w:rsid w:val="004E0B78"/>
    <w:rsid w:val="004E2D79"/>
    <w:rsid w:val="004E75C7"/>
    <w:rsid w:val="004F0BD5"/>
    <w:rsid w:val="004F17EF"/>
    <w:rsid w:val="004F4EF6"/>
    <w:rsid w:val="00502F14"/>
    <w:rsid w:val="00504C6E"/>
    <w:rsid w:val="00505E1D"/>
    <w:rsid w:val="00510209"/>
    <w:rsid w:val="005145D3"/>
    <w:rsid w:val="00536856"/>
    <w:rsid w:val="00542291"/>
    <w:rsid w:val="005458C5"/>
    <w:rsid w:val="00546D48"/>
    <w:rsid w:val="00553A0C"/>
    <w:rsid w:val="005546BE"/>
    <w:rsid w:val="005552F4"/>
    <w:rsid w:val="005666A8"/>
    <w:rsid w:val="00567DAE"/>
    <w:rsid w:val="0057141C"/>
    <w:rsid w:val="0057437A"/>
    <w:rsid w:val="005747D4"/>
    <w:rsid w:val="00577647"/>
    <w:rsid w:val="0058410D"/>
    <w:rsid w:val="00584DB8"/>
    <w:rsid w:val="00593D89"/>
    <w:rsid w:val="005A2879"/>
    <w:rsid w:val="005A544F"/>
    <w:rsid w:val="005B7502"/>
    <w:rsid w:val="005C161C"/>
    <w:rsid w:val="005C3A4D"/>
    <w:rsid w:val="005F0E22"/>
    <w:rsid w:val="005F3AE9"/>
    <w:rsid w:val="00605FF0"/>
    <w:rsid w:val="00607A8C"/>
    <w:rsid w:val="00616912"/>
    <w:rsid w:val="00616D8D"/>
    <w:rsid w:val="00622B73"/>
    <w:rsid w:val="00622FE7"/>
    <w:rsid w:val="006278CB"/>
    <w:rsid w:val="00637A6E"/>
    <w:rsid w:val="00656499"/>
    <w:rsid w:val="00660F8C"/>
    <w:rsid w:val="00665DF8"/>
    <w:rsid w:val="0067747F"/>
    <w:rsid w:val="006818CD"/>
    <w:rsid w:val="00681907"/>
    <w:rsid w:val="0068497A"/>
    <w:rsid w:val="006A0C94"/>
    <w:rsid w:val="006A1BCD"/>
    <w:rsid w:val="006A2682"/>
    <w:rsid w:val="006A3017"/>
    <w:rsid w:val="006A7557"/>
    <w:rsid w:val="006B07B0"/>
    <w:rsid w:val="006B5729"/>
    <w:rsid w:val="006C108B"/>
    <w:rsid w:val="006C14AF"/>
    <w:rsid w:val="006C53DD"/>
    <w:rsid w:val="006C72D0"/>
    <w:rsid w:val="006D0804"/>
    <w:rsid w:val="006D146F"/>
    <w:rsid w:val="006D37B1"/>
    <w:rsid w:val="006E2812"/>
    <w:rsid w:val="006E6250"/>
    <w:rsid w:val="006F3BD2"/>
    <w:rsid w:val="006F629B"/>
    <w:rsid w:val="00702A73"/>
    <w:rsid w:val="007210DE"/>
    <w:rsid w:val="00721CF8"/>
    <w:rsid w:val="00722ED2"/>
    <w:rsid w:val="007254DC"/>
    <w:rsid w:val="007370A6"/>
    <w:rsid w:val="007422BC"/>
    <w:rsid w:val="00745689"/>
    <w:rsid w:val="00746A98"/>
    <w:rsid w:val="0075212F"/>
    <w:rsid w:val="00754F96"/>
    <w:rsid w:val="00755BE4"/>
    <w:rsid w:val="00765E19"/>
    <w:rsid w:val="00767C77"/>
    <w:rsid w:val="00772002"/>
    <w:rsid w:val="00772607"/>
    <w:rsid w:val="00782923"/>
    <w:rsid w:val="00787BA5"/>
    <w:rsid w:val="007930BF"/>
    <w:rsid w:val="007943EB"/>
    <w:rsid w:val="007954EA"/>
    <w:rsid w:val="00797F78"/>
    <w:rsid w:val="007A498B"/>
    <w:rsid w:val="007A6EAC"/>
    <w:rsid w:val="007B35B8"/>
    <w:rsid w:val="007B406E"/>
    <w:rsid w:val="007B427A"/>
    <w:rsid w:val="007D21AB"/>
    <w:rsid w:val="007E25D9"/>
    <w:rsid w:val="007E75C9"/>
    <w:rsid w:val="007E7C0D"/>
    <w:rsid w:val="007E7EC5"/>
    <w:rsid w:val="007F385A"/>
    <w:rsid w:val="007F481D"/>
    <w:rsid w:val="00803118"/>
    <w:rsid w:val="00805A0B"/>
    <w:rsid w:val="008067C0"/>
    <w:rsid w:val="00810F68"/>
    <w:rsid w:val="00814314"/>
    <w:rsid w:val="008153F8"/>
    <w:rsid w:val="0081783D"/>
    <w:rsid w:val="008207A2"/>
    <w:rsid w:val="00823664"/>
    <w:rsid w:val="00825032"/>
    <w:rsid w:val="00827CE6"/>
    <w:rsid w:val="00834529"/>
    <w:rsid w:val="00836811"/>
    <w:rsid w:val="00841922"/>
    <w:rsid w:val="0084720F"/>
    <w:rsid w:val="00854AF5"/>
    <w:rsid w:val="00856DC9"/>
    <w:rsid w:val="00857FF7"/>
    <w:rsid w:val="0086174E"/>
    <w:rsid w:val="00863C84"/>
    <w:rsid w:val="00892AFD"/>
    <w:rsid w:val="0089331F"/>
    <w:rsid w:val="008A3DAE"/>
    <w:rsid w:val="008A6D51"/>
    <w:rsid w:val="008C72DA"/>
    <w:rsid w:val="008D0C30"/>
    <w:rsid w:val="008D2BDC"/>
    <w:rsid w:val="008D4B05"/>
    <w:rsid w:val="008D65ED"/>
    <w:rsid w:val="008D69F3"/>
    <w:rsid w:val="008D7E49"/>
    <w:rsid w:val="009026B3"/>
    <w:rsid w:val="009068F5"/>
    <w:rsid w:val="00917F92"/>
    <w:rsid w:val="00920494"/>
    <w:rsid w:val="00921F9C"/>
    <w:rsid w:val="009276C2"/>
    <w:rsid w:val="00930D60"/>
    <w:rsid w:val="00933340"/>
    <w:rsid w:val="00935296"/>
    <w:rsid w:val="00941412"/>
    <w:rsid w:val="0094176F"/>
    <w:rsid w:val="00942990"/>
    <w:rsid w:val="00947675"/>
    <w:rsid w:val="00953B18"/>
    <w:rsid w:val="00956792"/>
    <w:rsid w:val="00960B7E"/>
    <w:rsid w:val="00960D34"/>
    <w:rsid w:val="0096101E"/>
    <w:rsid w:val="0096581A"/>
    <w:rsid w:val="00970BF7"/>
    <w:rsid w:val="00971B53"/>
    <w:rsid w:val="0097451C"/>
    <w:rsid w:val="00974761"/>
    <w:rsid w:val="0098015B"/>
    <w:rsid w:val="0099080A"/>
    <w:rsid w:val="00991B33"/>
    <w:rsid w:val="00991EDE"/>
    <w:rsid w:val="009A0615"/>
    <w:rsid w:val="009A26AE"/>
    <w:rsid w:val="009A2C37"/>
    <w:rsid w:val="009A2C59"/>
    <w:rsid w:val="009A595D"/>
    <w:rsid w:val="009B4017"/>
    <w:rsid w:val="009B57C4"/>
    <w:rsid w:val="009B7C8B"/>
    <w:rsid w:val="009C2E32"/>
    <w:rsid w:val="009C41A9"/>
    <w:rsid w:val="009D6FB3"/>
    <w:rsid w:val="009E4E38"/>
    <w:rsid w:val="009E4FDD"/>
    <w:rsid w:val="009E6320"/>
    <w:rsid w:val="009F09C2"/>
    <w:rsid w:val="009F3460"/>
    <w:rsid w:val="009F4431"/>
    <w:rsid w:val="009F6FE4"/>
    <w:rsid w:val="00A00B5D"/>
    <w:rsid w:val="00A02484"/>
    <w:rsid w:val="00A06943"/>
    <w:rsid w:val="00A07BCB"/>
    <w:rsid w:val="00A16470"/>
    <w:rsid w:val="00A174C6"/>
    <w:rsid w:val="00A17C31"/>
    <w:rsid w:val="00A252C9"/>
    <w:rsid w:val="00A27F57"/>
    <w:rsid w:val="00A311AC"/>
    <w:rsid w:val="00A317F4"/>
    <w:rsid w:val="00A320EA"/>
    <w:rsid w:val="00A425E6"/>
    <w:rsid w:val="00A44D06"/>
    <w:rsid w:val="00A55960"/>
    <w:rsid w:val="00A60990"/>
    <w:rsid w:val="00A61277"/>
    <w:rsid w:val="00A67B88"/>
    <w:rsid w:val="00A713E8"/>
    <w:rsid w:val="00A75669"/>
    <w:rsid w:val="00A94E27"/>
    <w:rsid w:val="00AA0378"/>
    <w:rsid w:val="00AA107A"/>
    <w:rsid w:val="00AA267F"/>
    <w:rsid w:val="00AA4D56"/>
    <w:rsid w:val="00AA7C69"/>
    <w:rsid w:val="00AB47B8"/>
    <w:rsid w:val="00AB5CC4"/>
    <w:rsid w:val="00AC5494"/>
    <w:rsid w:val="00AD4D4D"/>
    <w:rsid w:val="00AD550A"/>
    <w:rsid w:val="00AD6F44"/>
    <w:rsid w:val="00AD771B"/>
    <w:rsid w:val="00AE648B"/>
    <w:rsid w:val="00AF6BAD"/>
    <w:rsid w:val="00AF6D4D"/>
    <w:rsid w:val="00AF708B"/>
    <w:rsid w:val="00B00D82"/>
    <w:rsid w:val="00B120B1"/>
    <w:rsid w:val="00B20DD1"/>
    <w:rsid w:val="00B223C5"/>
    <w:rsid w:val="00B232E5"/>
    <w:rsid w:val="00B35742"/>
    <w:rsid w:val="00B47D39"/>
    <w:rsid w:val="00B5118B"/>
    <w:rsid w:val="00B53083"/>
    <w:rsid w:val="00B56E32"/>
    <w:rsid w:val="00B75F10"/>
    <w:rsid w:val="00B772B6"/>
    <w:rsid w:val="00B82103"/>
    <w:rsid w:val="00B824DD"/>
    <w:rsid w:val="00B82760"/>
    <w:rsid w:val="00B840D7"/>
    <w:rsid w:val="00B849F3"/>
    <w:rsid w:val="00B9073B"/>
    <w:rsid w:val="00B96263"/>
    <w:rsid w:val="00BA1BB4"/>
    <w:rsid w:val="00BA6401"/>
    <w:rsid w:val="00BB6671"/>
    <w:rsid w:val="00BC05C4"/>
    <w:rsid w:val="00BC1722"/>
    <w:rsid w:val="00BD6232"/>
    <w:rsid w:val="00BE1C6F"/>
    <w:rsid w:val="00BF0AF8"/>
    <w:rsid w:val="00BF5DEB"/>
    <w:rsid w:val="00C13DAC"/>
    <w:rsid w:val="00C13F8B"/>
    <w:rsid w:val="00C215E8"/>
    <w:rsid w:val="00C21B76"/>
    <w:rsid w:val="00C226CE"/>
    <w:rsid w:val="00C2295F"/>
    <w:rsid w:val="00C2752B"/>
    <w:rsid w:val="00C31AF1"/>
    <w:rsid w:val="00C36426"/>
    <w:rsid w:val="00C377FC"/>
    <w:rsid w:val="00C409C5"/>
    <w:rsid w:val="00C43B60"/>
    <w:rsid w:val="00C47B95"/>
    <w:rsid w:val="00C50225"/>
    <w:rsid w:val="00C52AD4"/>
    <w:rsid w:val="00C570F9"/>
    <w:rsid w:val="00C626B1"/>
    <w:rsid w:val="00C63F14"/>
    <w:rsid w:val="00C658DC"/>
    <w:rsid w:val="00C6665E"/>
    <w:rsid w:val="00C67364"/>
    <w:rsid w:val="00C757C1"/>
    <w:rsid w:val="00C75A10"/>
    <w:rsid w:val="00C77824"/>
    <w:rsid w:val="00C85F04"/>
    <w:rsid w:val="00C97C02"/>
    <w:rsid w:val="00CA1B2C"/>
    <w:rsid w:val="00CA2A63"/>
    <w:rsid w:val="00CA7F4B"/>
    <w:rsid w:val="00CB0528"/>
    <w:rsid w:val="00CB05B6"/>
    <w:rsid w:val="00CB4362"/>
    <w:rsid w:val="00CC48D4"/>
    <w:rsid w:val="00CC4D75"/>
    <w:rsid w:val="00CD5494"/>
    <w:rsid w:val="00CE2FCB"/>
    <w:rsid w:val="00CE5AA9"/>
    <w:rsid w:val="00D0490D"/>
    <w:rsid w:val="00D05577"/>
    <w:rsid w:val="00D05C9F"/>
    <w:rsid w:val="00D106BC"/>
    <w:rsid w:val="00D1228B"/>
    <w:rsid w:val="00D153CA"/>
    <w:rsid w:val="00D210A7"/>
    <w:rsid w:val="00D245C9"/>
    <w:rsid w:val="00D2795C"/>
    <w:rsid w:val="00D37187"/>
    <w:rsid w:val="00D4379E"/>
    <w:rsid w:val="00D46D27"/>
    <w:rsid w:val="00D507EB"/>
    <w:rsid w:val="00D62138"/>
    <w:rsid w:val="00D6275C"/>
    <w:rsid w:val="00D651A4"/>
    <w:rsid w:val="00D6607F"/>
    <w:rsid w:val="00D66E02"/>
    <w:rsid w:val="00D714DD"/>
    <w:rsid w:val="00D73724"/>
    <w:rsid w:val="00D748D6"/>
    <w:rsid w:val="00D77D01"/>
    <w:rsid w:val="00DA16AD"/>
    <w:rsid w:val="00DA4845"/>
    <w:rsid w:val="00DA5A4D"/>
    <w:rsid w:val="00DB0774"/>
    <w:rsid w:val="00DB2ACA"/>
    <w:rsid w:val="00DB6A05"/>
    <w:rsid w:val="00DB6AC3"/>
    <w:rsid w:val="00DD380F"/>
    <w:rsid w:val="00DE34B2"/>
    <w:rsid w:val="00DE4A04"/>
    <w:rsid w:val="00DF00C4"/>
    <w:rsid w:val="00DF0E76"/>
    <w:rsid w:val="00DF10F2"/>
    <w:rsid w:val="00DF18ED"/>
    <w:rsid w:val="00DF20A8"/>
    <w:rsid w:val="00DF26DD"/>
    <w:rsid w:val="00DF5A03"/>
    <w:rsid w:val="00DF7E39"/>
    <w:rsid w:val="00E01FDC"/>
    <w:rsid w:val="00E04BB3"/>
    <w:rsid w:val="00E05748"/>
    <w:rsid w:val="00E065BB"/>
    <w:rsid w:val="00E14576"/>
    <w:rsid w:val="00E1617B"/>
    <w:rsid w:val="00E16543"/>
    <w:rsid w:val="00E21B28"/>
    <w:rsid w:val="00E22046"/>
    <w:rsid w:val="00E24687"/>
    <w:rsid w:val="00E24724"/>
    <w:rsid w:val="00E277F8"/>
    <w:rsid w:val="00E42461"/>
    <w:rsid w:val="00E4560A"/>
    <w:rsid w:val="00E47E7B"/>
    <w:rsid w:val="00E541D9"/>
    <w:rsid w:val="00E55DC0"/>
    <w:rsid w:val="00E67EF4"/>
    <w:rsid w:val="00E777EC"/>
    <w:rsid w:val="00E7781B"/>
    <w:rsid w:val="00E8031F"/>
    <w:rsid w:val="00E82664"/>
    <w:rsid w:val="00E8366D"/>
    <w:rsid w:val="00E926A5"/>
    <w:rsid w:val="00E92CA4"/>
    <w:rsid w:val="00E93271"/>
    <w:rsid w:val="00EA1586"/>
    <w:rsid w:val="00EA6140"/>
    <w:rsid w:val="00EA6681"/>
    <w:rsid w:val="00EB040E"/>
    <w:rsid w:val="00EB42CB"/>
    <w:rsid w:val="00EC1BF3"/>
    <w:rsid w:val="00EC2830"/>
    <w:rsid w:val="00EC3A01"/>
    <w:rsid w:val="00ED3534"/>
    <w:rsid w:val="00EE1FB7"/>
    <w:rsid w:val="00EE45D1"/>
    <w:rsid w:val="00EE5178"/>
    <w:rsid w:val="00EF1026"/>
    <w:rsid w:val="00EF1F26"/>
    <w:rsid w:val="00EF3F51"/>
    <w:rsid w:val="00EF4241"/>
    <w:rsid w:val="00F10738"/>
    <w:rsid w:val="00F12C87"/>
    <w:rsid w:val="00F13C08"/>
    <w:rsid w:val="00F26AC1"/>
    <w:rsid w:val="00F278B0"/>
    <w:rsid w:val="00F33A92"/>
    <w:rsid w:val="00F365C7"/>
    <w:rsid w:val="00F36839"/>
    <w:rsid w:val="00F40D95"/>
    <w:rsid w:val="00F51658"/>
    <w:rsid w:val="00F53B2E"/>
    <w:rsid w:val="00F60930"/>
    <w:rsid w:val="00F61222"/>
    <w:rsid w:val="00F63295"/>
    <w:rsid w:val="00F6746B"/>
    <w:rsid w:val="00F80B76"/>
    <w:rsid w:val="00FA4EE9"/>
    <w:rsid w:val="00FA52C9"/>
    <w:rsid w:val="00FA6782"/>
    <w:rsid w:val="00FA6E24"/>
    <w:rsid w:val="00FB109C"/>
    <w:rsid w:val="00FC4CA7"/>
    <w:rsid w:val="00FD4B1D"/>
    <w:rsid w:val="00FD7BB3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410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1081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134"/>
  </w:style>
  <w:style w:type="paragraph" w:styleId="Zpat">
    <w:name w:val="footer"/>
    <w:basedOn w:val="Normln"/>
    <w:link w:val="ZpatChar"/>
    <w:uiPriority w:val="99"/>
    <w:unhideWhenUsed/>
    <w:rsid w:val="0026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134"/>
  </w:style>
  <w:style w:type="paragraph" w:styleId="Revize">
    <w:name w:val="Revision"/>
    <w:hidden/>
    <w:uiPriority w:val="99"/>
    <w:semiHidden/>
    <w:rsid w:val="00DB2A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A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A0A2E"/>
    <w:rPr>
      <w:b/>
      <w:bCs/>
    </w:rPr>
  </w:style>
  <w:style w:type="paragraph" w:styleId="Odstavecseseznamem">
    <w:name w:val="List Paragraph"/>
    <w:basedOn w:val="Normln"/>
    <w:uiPriority w:val="34"/>
    <w:qFormat/>
    <w:rsid w:val="0062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10061</Characters>
  <Application>Microsoft Office Word</Application>
  <DocSecurity>0</DocSecurity>
  <Lines>83</Lines>
  <Paragraphs>23</Paragraphs>
  <ScaleCrop>false</ScaleCrop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2020-10-27T16:40:00Z</dcterms:created>
  <dcterms:modified xsi:type="dcterms:W3CDTF">2020-10-27T16:40:00Z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2020-10-27T16:40:50Z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a4201563-61a1-45a5-a3f0-b970ee7afd69</vt:lpwstr>
  </property>
  <property fmtid="{D5CDD505-2E9C-101B-9397-08002B2CF9AE}" pid="8" name="MSIP_Label_2063cd7f-2d21-486a-9f29-9c1683fdd175_ContentBits">
    <vt:lpwstr>0</vt:lpwstr>
  </property>
</Properties>
</file>