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D13B3" w14:textId="77777777" w:rsidR="001C0ACF" w:rsidRDefault="001C0ACF" w:rsidP="00B6124D">
      <w:pPr>
        <w:pStyle w:val="Nadpisobsahu"/>
        <w:jc w:val="both"/>
      </w:pPr>
      <w:r>
        <w:t>Obsah</w:t>
      </w:r>
    </w:p>
    <w:p w14:paraId="0A4CE111" w14:textId="16D1EAC7" w:rsidR="00037E4B" w:rsidRDefault="00EA7543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1C0ACF">
        <w:instrText xml:space="preserve"> TOC \o "1-3" \h \z \u </w:instrText>
      </w:r>
      <w:r>
        <w:fldChar w:fldCharType="separate"/>
      </w:r>
      <w:hyperlink w:anchor="_Toc14872407" w:history="1">
        <w:r w:rsidR="00037E4B" w:rsidRPr="00B44602">
          <w:rPr>
            <w:rStyle w:val="Hypertextovodkaz"/>
            <w:noProof/>
          </w:rPr>
          <w:t>1. IDENTIFIKAČNÍ ÚDAJE STAVBY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_Toc14872407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1</w:t>
        </w:r>
        <w:r w:rsidR="00037E4B">
          <w:rPr>
            <w:noProof/>
            <w:webHidden/>
          </w:rPr>
          <w:fldChar w:fldCharType="end"/>
        </w:r>
      </w:hyperlink>
    </w:p>
    <w:p w14:paraId="42630D23" w14:textId="04622320" w:rsidR="00037E4B" w:rsidRDefault="00DF2E7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08" w:history="1">
        <w:r w:rsidR="00037E4B" w:rsidRPr="00B44602">
          <w:rPr>
            <w:rStyle w:val="Hypertextovodkaz"/>
            <w:noProof/>
          </w:rPr>
          <w:t>2. STRUČNÝ TECHNICKÝ POPIS STAVBY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_Toc14872408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2</w:t>
        </w:r>
        <w:r w:rsidR="00037E4B">
          <w:rPr>
            <w:noProof/>
            <w:webHidden/>
          </w:rPr>
          <w:fldChar w:fldCharType="end"/>
        </w:r>
      </w:hyperlink>
    </w:p>
    <w:p w14:paraId="6CFBC7E3" w14:textId="11584610" w:rsidR="00037E4B" w:rsidRDefault="00DF2E7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09" w:history="1">
        <w:r w:rsidR="00037E4B" w:rsidRPr="00B44602">
          <w:rPr>
            <w:rStyle w:val="Hypertextovodkaz"/>
            <w:noProof/>
          </w:rPr>
          <w:t>3. VYHODNOCENÍ PRŮZKUMŮ A PODKLADŮ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_Toc14872409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2</w:t>
        </w:r>
        <w:r w:rsidR="00037E4B">
          <w:rPr>
            <w:noProof/>
            <w:webHidden/>
          </w:rPr>
          <w:fldChar w:fldCharType="end"/>
        </w:r>
      </w:hyperlink>
    </w:p>
    <w:p w14:paraId="123036F2" w14:textId="54ECC2C1" w:rsidR="00037E4B" w:rsidRDefault="00DF2E7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0" w:history="1">
        <w:r w:rsidR="00037E4B" w:rsidRPr="00B44602">
          <w:rPr>
            <w:rStyle w:val="Hypertextovodkaz"/>
            <w:noProof/>
          </w:rPr>
          <w:t>4. VZTAH K OSTATNÍM OBJEKTŮM STAVBY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_Toc14872410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2</w:t>
        </w:r>
        <w:r w:rsidR="00037E4B">
          <w:rPr>
            <w:noProof/>
            <w:webHidden/>
          </w:rPr>
          <w:fldChar w:fldCharType="end"/>
        </w:r>
      </w:hyperlink>
    </w:p>
    <w:p w14:paraId="5EB88F8B" w14:textId="796054BE" w:rsidR="00037E4B" w:rsidRDefault="00DF2E7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1" w:history="1">
        <w:r w:rsidR="00037E4B" w:rsidRPr="00B44602">
          <w:rPr>
            <w:rStyle w:val="Hypertextovodkaz"/>
            <w:noProof/>
          </w:rPr>
          <w:t>5. NÁVRH ZPEVNĚNÝCH PLOCH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_Toc14872411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2</w:t>
        </w:r>
        <w:r w:rsidR="00037E4B">
          <w:rPr>
            <w:noProof/>
            <w:webHidden/>
          </w:rPr>
          <w:fldChar w:fldCharType="end"/>
        </w:r>
      </w:hyperlink>
    </w:p>
    <w:p w14:paraId="6967B916" w14:textId="406C9E98" w:rsidR="00037E4B" w:rsidRDefault="00DF2E7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2" w:history="1">
        <w:r w:rsidR="00037E4B" w:rsidRPr="00B44602">
          <w:rPr>
            <w:rStyle w:val="Hypertextovodkaz"/>
            <w:noProof/>
          </w:rPr>
          <w:t>6. ZÁSADY ODVODNĚNÍ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_Toc14872412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4</w:t>
        </w:r>
        <w:r w:rsidR="00037E4B">
          <w:rPr>
            <w:noProof/>
            <w:webHidden/>
          </w:rPr>
          <w:fldChar w:fldCharType="end"/>
        </w:r>
      </w:hyperlink>
    </w:p>
    <w:p w14:paraId="4B3468EB" w14:textId="41F8A040" w:rsidR="00037E4B" w:rsidRDefault="00DF2E7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3" w:history="1">
        <w:r w:rsidR="00037E4B" w:rsidRPr="00B44602">
          <w:rPr>
            <w:rStyle w:val="Hypertextovodkaz"/>
            <w:noProof/>
          </w:rPr>
          <w:t>7. VYTYČENÍ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_Toc14872413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4</w:t>
        </w:r>
        <w:r w:rsidR="00037E4B">
          <w:rPr>
            <w:noProof/>
            <w:webHidden/>
          </w:rPr>
          <w:fldChar w:fldCharType="end"/>
        </w:r>
      </w:hyperlink>
    </w:p>
    <w:p w14:paraId="34A9D6BD" w14:textId="545AFA14" w:rsidR="00037E4B" w:rsidRDefault="00DF2E7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4" w:history="1">
        <w:r w:rsidR="00037E4B" w:rsidRPr="00B44602">
          <w:rPr>
            <w:rStyle w:val="Hypertextovodkaz"/>
            <w:noProof/>
          </w:rPr>
          <w:t>8. DOPRAVNÍ ZNAČENÍ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_Toc14872414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4</w:t>
        </w:r>
        <w:r w:rsidR="00037E4B">
          <w:rPr>
            <w:noProof/>
            <w:webHidden/>
          </w:rPr>
          <w:fldChar w:fldCharType="end"/>
        </w:r>
      </w:hyperlink>
    </w:p>
    <w:p w14:paraId="729FE28E" w14:textId="22D8DDE8" w:rsidR="00037E4B" w:rsidRDefault="00DF2E7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5" w:history="1">
        <w:r w:rsidR="00037E4B" w:rsidRPr="00B44602">
          <w:rPr>
            <w:rStyle w:val="Hypertextovodkaz"/>
            <w:noProof/>
          </w:rPr>
          <w:t>9. INŽENÝRSKÉ SÍTĚ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_Toc14872415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4</w:t>
        </w:r>
        <w:r w:rsidR="00037E4B">
          <w:rPr>
            <w:noProof/>
            <w:webHidden/>
          </w:rPr>
          <w:fldChar w:fldCharType="end"/>
        </w:r>
      </w:hyperlink>
    </w:p>
    <w:p w14:paraId="7AC34FE1" w14:textId="0B0930AC" w:rsidR="00037E4B" w:rsidRDefault="00DF2E7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6" w:history="1">
        <w:r w:rsidR="00037E4B" w:rsidRPr="00B44602">
          <w:rPr>
            <w:rStyle w:val="Hypertextovodkaz"/>
            <w:noProof/>
          </w:rPr>
          <w:t>10. SADOVÉ ÚPRAVY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_Toc14872416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5</w:t>
        </w:r>
        <w:r w:rsidR="00037E4B">
          <w:rPr>
            <w:noProof/>
            <w:webHidden/>
          </w:rPr>
          <w:fldChar w:fldCharType="end"/>
        </w:r>
      </w:hyperlink>
    </w:p>
    <w:p w14:paraId="31DC52F7" w14:textId="1D06FED6" w:rsidR="00037E4B" w:rsidRDefault="00DF2E7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7" w:history="1">
        <w:r w:rsidR="00037E4B" w:rsidRPr="00B44602">
          <w:rPr>
            <w:rStyle w:val="Hypertextovodkaz"/>
            <w:noProof/>
          </w:rPr>
          <w:t>11. ZEMNÍ PRÁCE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_Toc14872417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5</w:t>
        </w:r>
        <w:r w:rsidR="00037E4B">
          <w:rPr>
            <w:noProof/>
            <w:webHidden/>
          </w:rPr>
          <w:fldChar w:fldCharType="end"/>
        </w:r>
      </w:hyperlink>
    </w:p>
    <w:p w14:paraId="6C679AAE" w14:textId="10CC2132" w:rsidR="00037E4B" w:rsidRDefault="00DF2E7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8" w:history="1">
        <w:r w:rsidR="00037E4B" w:rsidRPr="00B44602">
          <w:rPr>
            <w:rStyle w:val="Hypertextovodkaz"/>
            <w:noProof/>
          </w:rPr>
          <w:t>12. UŽÍVÁNÍ KOMUNIKACÍ OSOBAMI S OMEZENOU SCHOPNOSTÍ POHYBU A ORIENTACE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_Toc14872418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4B4463">
          <w:rPr>
            <w:noProof/>
            <w:webHidden/>
          </w:rPr>
          <w:t>5</w:t>
        </w:r>
        <w:r w:rsidR="00037E4B">
          <w:rPr>
            <w:noProof/>
            <w:webHidden/>
          </w:rPr>
          <w:fldChar w:fldCharType="end"/>
        </w:r>
      </w:hyperlink>
    </w:p>
    <w:p w14:paraId="123D13C1" w14:textId="4382C1AD" w:rsidR="001C0ACF" w:rsidRDefault="00EA7543" w:rsidP="00B6124D">
      <w:pPr>
        <w:jc w:val="both"/>
      </w:pPr>
      <w:r>
        <w:fldChar w:fldCharType="end"/>
      </w:r>
    </w:p>
    <w:p w14:paraId="123D13C2" w14:textId="77777777" w:rsidR="001C0ACF" w:rsidRDefault="001C0ACF" w:rsidP="00B6124D">
      <w:pPr>
        <w:jc w:val="both"/>
        <w:rPr>
          <w:b/>
        </w:rPr>
      </w:pPr>
    </w:p>
    <w:p w14:paraId="123D13C3" w14:textId="77777777" w:rsidR="001C0ACF" w:rsidRDefault="001C0ACF" w:rsidP="00B6124D">
      <w:pPr>
        <w:jc w:val="both"/>
        <w:rPr>
          <w:b/>
        </w:rPr>
      </w:pPr>
    </w:p>
    <w:p w14:paraId="123D13C4" w14:textId="77777777" w:rsidR="001C0ACF" w:rsidRDefault="001C0ACF" w:rsidP="00B6124D">
      <w:pPr>
        <w:jc w:val="both"/>
        <w:rPr>
          <w:b/>
        </w:rPr>
      </w:pPr>
    </w:p>
    <w:p w14:paraId="123D13C5" w14:textId="77777777" w:rsidR="001C0ACF" w:rsidRDefault="001C0ACF" w:rsidP="00B6124D">
      <w:pPr>
        <w:jc w:val="both"/>
        <w:rPr>
          <w:b/>
        </w:rPr>
      </w:pPr>
    </w:p>
    <w:p w14:paraId="123D13C6" w14:textId="77777777" w:rsidR="00BF35EF" w:rsidRDefault="00BF35EF" w:rsidP="00B6124D">
      <w:pPr>
        <w:jc w:val="both"/>
        <w:rPr>
          <w:b/>
        </w:rPr>
      </w:pPr>
    </w:p>
    <w:p w14:paraId="123D13C7" w14:textId="77777777" w:rsidR="00BF35EF" w:rsidRDefault="00BF35EF" w:rsidP="00B6124D">
      <w:pPr>
        <w:jc w:val="both"/>
        <w:rPr>
          <w:b/>
        </w:rPr>
      </w:pPr>
    </w:p>
    <w:p w14:paraId="123D13C8" w14:textId="77777777" w:rsidR="00BF35EF" w:rsidRDefault="00BF35EF" w:rsidP="00B6124D">
      <w:pPr>
        <w:jc w:val="both"/>
        <w:rPr>
          <w:b/>
        </w:rPr>
      </w:pPr>
    </w:p>
    <w:p w14:paraId="123D13C9" w14:textId="3C1CA0A9" w:rsidR="00DB6495" w:rsidRDefault="00DB6495" w:rsidP="00B6124D">
      <w:pPr>
        <w:jc w:val="both"/>
        <w:rPr>
          <w:b/>
        </w:rPr>
      </w:pPr>
    </w:p>
    <w:p w14:paraId="314C509B" w14:textId="57BD22A6" w:rsidR="00F2620A" w:rsidRDefault="00F2620A" w:rsidP="00B6124D">
      <w:pPr>
        <w:jc w:val="both"/>
        <w:rPr>
          <w:b/>
        </w:rPr>
      </w:pPr>
    </w:p>
    <w:p w14:paraId="0DE71A11" w14:textId="1232D8D2" w:rsidR="00F2620A" w:rsidRDefault="00F2620A" w:rsidP="00B6124D">
      <w:pPr>
        <w:jc w:val="both"/>
        <w:rPr>
          <w:b/>
        </w:rPr>
      </w:pPr>
    </w:p>
    <w:p w14:paraId="43B49EBF" w14:textId="77777777" w:rsidR="00037E4B" w:rsidRDefault="00037E4B" w:rsidP="00B6124D">
      <w:pPr>
        <w:jc w:val="both"/>
        <w:rPr>
          <w:b/>
        </w:rPr>
      </w:pPr>
    </w:p>
    <w:p w14:paraId="22785C4A" w14:textId="7E794856" w:rsidR="00F2620A" w:rsidRDefault="00F2620A" w:rsidP="00B6124D">
      <w:pPr>
        <w:jc w:val="both"/>
        <w:rPr>
          <w:b/>
        </w:rPr>
      </w:pPr>
    </w:p>
    <w:p w14:paraId="123D13CA" w14:textId="77777777" w:rsidR="00DB6495" w:rsidRDefault="00DB6495" w:rsidP="00B6124D">
      <w:pPr>
        <w:jc w:val="both"/>
        <w:rPr>
          <w:b/>
        </w:rPr>
      </w:pPr>
    </w:p>
    <w:p w14:paraId="123D13CB" w14:textId="77777777" w:rsidR="00BF35EF" w:rsidRDefault="00BF35EF" w:rsidP="00B6124D">
      <w:pPr>
        <w:jc w:val="both"/>
        <w:rPr>
          <w:b/>
        </w:rPr>
      </w:pPr>
    </w:p>
    <w:p w14:paraId="123D13CC" w14:textId="77777777" w:rsidR="00BF35EF" w:rsidRDefault="00BF35EF" w:rsidP="00B6124D">
      <w:pPr>
        <w:jc w:val="both"/>
        <w:rPr>
          <w:b/>
        </w:rPr>
      </w:pPr>
    </w:p>
    <w:p w14:paraId="123D13CD" w14:textId="77777777" w:rsidR="001C0ACF" w:rsidRDefault="001C0ACF" w:rsidP="00B6124D">
      <w:pPr>
        <w:jc w:val="both"/>
        <w:rPr>
          <w:b/>
        </w:rPr>
      </w:pPr>
    </w:p>
    <w:p w14:paraId="123D13CE" w14:textId="77777777" w:rsidR="001C0ACF" w:rsidRDefault="001C0ACF" w:rsidP="00B6124D">
      <w:pPr>
        <w:jc w:val="both"/>
        <w:rPr>
          <w:b/>
        </w:rPr>
      </w:pPr>
    </w:p>
    <w:p w14:paraId="123D13CF" w14:textId="77777777" w:rsidR="001C0ACF" w:rsidRDefault="001C0ACF" w:rsidP="00B6124D">
      <w:pPr>
        <w:jc w:val="both"/>
        <w:rPr>
          <w:b/>
        </w:rPr>
      </w:pPr>
    </w:p>
    <w:p w14:paraId="123D13D0" w14:textId="77777777" w:rsidR="006D3DBB" w:rsidRPr="00A018E9" w:rsidRDefault="001C0ACF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0" w:name="_Toc14872407"/>
      <w:r w:rsidRPr="00A018E9">
        <w:rPr>
          <w:rStyle w:val="Siln"/>
          <w:rFonts w:ascii="Verdana" w:hAnsi="Verdana"/>
          <w:b/>
          <w:sz w:val="20"/>
          <w:szCs w:val="20"/>
        </w:rPr>
        <w:t>1. IDENTIFIKAČNÍ ÚDAJE STAVBY</w:t>
      </w:r>
      <w:bookmarkEnd w:id="0"/>
    </w:p>
    <w:p w14:paraId="123D13D1" w14:textId="77777777" w:rsidR="006D3DBB" w:rsidRDefault="006D3DBB" w:rsidP="00B6124D">
      <w:pPr>
        <w:jc w:val="both"/>
        <w:rPr>
          <w:b/>
        </w:rPr>
      </w:pPr>
    </w:p>
    <w:p w14:paraId="123D13D2" w14:textId="0265809F" w:rsidR="00642126" w:rsidRPr="00642126" w:rsidRDefault="006D3DBB" w:rsidP="00642126">
      <w:pPr>
        <w:tabs>
          <w:tab w:val="left" w:pos="-360"/>
          <w:tab w:val="left" w:pos="0"/>
        </w:tabs>
        <w:spacing w:after="120"/>
        <w:jc w:val="both"/>
      </w:pPr>
      <w:r>
        <w:t xml:space="preserve">Název stavby: </w:t>
      </w:r>
      <w:r w:rsidR="00F2620A">
        <w:t>Žacléř – domov pro seniory Lampertice, objekt Žacléř</w:t>
      </w:r>
    </w:p>
    <w:p w14:paraId="123D13D3" w14:textId="39D62DE5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 xml:space="preserve">Místo stavby : </w:t>
      </w:r>
      <w:r w:rsidR="00F2620A">
        <w:t xml:space="preserve">obec a </w:t>
      </w:r>
      <w:proofErr w:type="spellStart"/>
      <w:r w:rsidR="00F2620A">
        <w:t>k.ú</w:t>
      </w:r>
      <w:proofErr w:type="spellEnd"/>
      <w:r w:rsidR="00F2620A">
        <w:t>. Žacléř</w:t>
      </w:r>
      <w:r w:rsidR="000D0724">
        <w:t>, kraj Královéhradecký</w:t>
      </w:r>
    </w:p>
    <w:p w14:paraId="123D13D4" w14:textId="77777777" w:rsidR="00DF479A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 xml:space="preserve">Investor: </w:t>
      </w:r>
    </w:p>
    <w:p w14:paraId="123D13D5" w14:textId="2E0B515D" w:rsidR="00DF479A" w:rsidRDefault="00DF479A" w:rsidP="00B6124D">
      <w:pPr>
        <w:tabs>
          <w:tab w:val="left" w:pos="-360"/>
          <w:tab w:val="left" w:pos="0"/>
        </w:tabs>
        <w:spacing w:after="120"/>
        <w:jc w:val="both"/>
      </w:pPr>
      <w:r>
        <w:tab/>
      </w:r>
      <w:r w:rsidR="00F2620A">
        <w:t>Královéhradecký kraj, Pivovarské nám. 1245, 500 03 Hradec Králové</w:t>
      </w:r>
    </w:p>
    <w:p w14:paraId="123D13D6" w14:textId="098166E9" w:rsidR="00DF479A" w:rsidRDefault="00DF479A" w:rsidP="00B6124D">
      <w:pPr>
        <w:tabs>
          <w:tab w:val="left" w:pos="-360"/>
          <w:tab w:val="left" w:pos="0"/>
        </w:tabs>
        <w:spacing w:after="120"/>
        <w:jc w:val="both"/>
      </w:pPr>
      <w:r>
        <w:tab/>
        <w:t xml:space="preserve">IČ: </w:t>
      </w:r>
      <w:r w:rsidR="00F2620A">
        <w:t>708 89 546</w:t>
      </w:r>
    </w:p>
    <w:p w14:paraId="123D13D8" w14:textId="75F6E0F1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 xml:space="preserve">Zpracovatel dokumentace: </w:t>
      </w:r>
    </w:p>
    <w:p w14:paraId="123D13D9" w14:textId="2EBB66C3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</w:r>
      <w:r w:rsidR="00144DEC">
        <w:t>Název</w:t>
      </w:r>
      <w:r>
        <w:t xml:space="preserve">: </w:t>
      </w:r>
      <w:proofErr w:type="spellStart"/>
      <w:r w:rsidR="00F2620A">
        <w:t>Atip</w:t>
      </w:r>
      <w:proofErr w:type="spellEnd"/>
      <w:r w:rsidR="00F2620A">
        <w:t xml:space="preserve"> a.s.</w:t>
      </w:r>
    </w:p>
    <w:p w14:paraId="123D13DA" w14:textId="7773129F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  <w:t xml:space="preserve">Adresa: </w:t>
      </w:r>
      <w:r w:rsidR="00F2620A">
        <w:t>Pražská 169, 541 31 Trutnov</w:t>
      </w:r>
    </w:p>
    <w:p w14:paraId="123D13DC" w14:textId="3E8980BD" w:rsidR="00144DEC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</w:r>
      <w:r w:rsidR="00144DEC">
        <w:t>Odpovědný projektant: Ing. David Pauzar, autorizovaný inženýr pro dopravní stavby</w:t>
      </w:r>
    </w:p>
    <w:p w14:paraId="123D13DD" w14:textId="77777777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</w:r>
      <w:r w:rsidR="00144DEC">
        <w:t>Číslo a</w:t>
      </w:r>
      <w:r>
        <w:t>utorizace:</w:t>
      </w:r>
      <w:r>
        <w:rPr>
          <w:b/>
        </w:rPr>
        <w:t xml:space="preserve"> </w:t>
      </w:r>
      <w:r>
        <w:t>0601281</w:t>
      </w:r>
    </w:p>
    <w:p w14:paraId="123D13DE" w14:textId="77777777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  <w:t>Telefon: 603 919 318</w:t>
      </w:r>
    </w:p>
    <w:p w14:paraId="123D13DF" w14:textId="77777777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  <w:t xml:space="preserve">e-mail: </w:t>
      </w:r>
      <w:r w:rsidRPr="006D3DBB">
        <w:t>dpauzar@seznam.cz</w:t>
      </w:r>
    </w:p>
    <w:p w14:paraId="123D13E0" w14:textId="77777777" w:rsidR="006D3DBB" w:rsidRPr="00A018E9" w:rsidRDefault="001C0ACF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1" w:name="_Toc14872408"/>
      <w:r w:rsidRPr="00A018E9">
        <w:rPr>
          <w:rStyle w:val="Siln"/>
          <w:rFonts w:ascii="Verdana" w:hAnsi="Verdana"/>
          <w:b/>
          <w:sz w:val="20"/>
          <w:szCs w:val="20"/>
        </w:rPr>
        <w:lastRenderedPageBreak/>
        <w:t>2. STRUČNÝ TECHNICKÝ POPIS STAVBY</w:t>
      </w:r>
      <w:bookmarkEnd w:id="1"/>
    </w:p>
    <w:p w14:paraId="0C4ADD17" w14:textId="77777777" w:rsidR="00F2620A" w:rsidRDefault="00F2620A" w:rsidP="00F2620A">
      <w:pPr>
        <w:tabs>
          <w:tab w:val="left" w:pos="-360"/>
          <w:tab w:val="left" w:pos="0"/>
        </w:tabs>
        <w:spacing w:before="120" w:after="120"/>
        <w:jc w:val="both"/>
      </w:pPr>
      <w:r w:rsidRPr="00C05ABB">
        <w:t xml:space="preserve">Předmětem SO </w:t>
      </w:r>
      <w:r>
        <w:t>20</w:t>
      </w:r>
      <w:r w:rsidRPr="00C05ABB">
        <w:t xml:space="preserve"> </w:t>
      </w:r>
      <w:r>
        <w:t>jsou pozemní komunikace, určené k obsluze navržené stavby domova pro seniory Lampertice – objekt Žacléř a související pozemní komunikace. Jedná se o:</w:t>
      </w:r>
    </w:p>
    <w:p w14:paraId="2F106CE2" w14:textId="77777777" w:rsidR="00F2620A" w:rsidRDefault="00F2620A" w:rsidP="00F2620A">
      <w:pPr>
        <w:tabs>
          <w:tab w:val="left" w:pos="-360"/>
          <w:tab w:val="left" w:pos="0"/>
        </w:tabs>
        <w:spacing w:after="120"/>
        <w:jc w:val="both"/>
      </w:pPr>
      <w:r>
        <w:t xml:space="preserve">Komunikace určené pro provoz motorových vozidel </w:t>
      </w:r>
    </w:p>
    <w:p w14:paraId="242DF66A" w14:textId="77777777" w:rsidR="00F2620A" w:rsidRDefault="00F2620A" w:rsidP="00F2620A">
      <w:pPr>
        <w:pStyle w:val="Odstavecseseznamem"/>
        <w:widowControl w:val="0"/>
        <w:numPr>
          <w:ilvl w:val="0"/>
          <w:numId w:val="3"/>
        </w:numPr>
        <w:tabs>
          <w:tab w:val="left" w:pos="-360"/>
          <w:tab w:val="left" w:pos="0"/>
        </w:tabs>
        <w:suppressAutoHyphens/>
        <w:spacing w:after="120"/>
        <w:jc w:val="both"/>
        <w:rPr>
          <w:rFonts w:eastAsia="Lucida Sans Unicode" w:cs="Times New Roman"/>
          <w:lang w:eastAsia="cs-CZ"/>
        </w:rPr>
      </w:pPr>
      <w:r w:rsidRPr="008D3DB6">
        <w:rPr>
          <w:rFonts w:eastAsia="Lucida Sans Unicode" w:cs="Times New Roman"/>
          <w:lang w:eastAsia="cs-CZ"/>
        </w:rPr>
        <w:t>přestavba stávajících přístupových komunikací, napojených na místní komunikaci ul. Mladých horníků – účelová komunikace ke garážím</w:t>
      </w:r>
      <w:r>
        <w:rPr>
          <w:rFonts w:eastAsia="Lucida Sans Unicode" w:cs="Times New Roman"/>
          <w:lang w:eastAsia="cs-CZ"/>
        </w:rPr>
        <w:t xml:space="preserve"> š. 5,5m a místní komunikace ul. Vězeňská š. 5,25m s asfaltobetonovým krytem</w:t>
      </w:r>
    </w:p>
    <w:p w14:paraId="125311F5" w14:textId="7E8B0CE5" w:rsidR="00F2620A" w:rsidRDefault="00F2620A" w:rsidP="00F2620A">
      <w:pPr>
        <w:pStyle w:val="Odstavecseseznamem"/>
        <w:widowControl w:val="0"/>
        <w:numPr>
          <w:ilvl w:val="0"/>
          <w:numId w:val="3"/>
        </w:numPr>
        <w:tabs>
          <w:tab w:val="left" w:pos="-360"/>
          <w:tab w:val="left" w:pos="0"/>
        </w:tabs>
        <w:suppressAutoHyphens/>
        <w:spacing w:after="120"/>
        <w:jc w:val="both"/>
        <w:rPr>
          <w:rFonts w:eastAsia="Lucida Sans Unicode" w:cs="Times New Roman"/>
          <w:lang w:eastAsia="cs-CZ"/>
        </w:rPr>
      </w:pPr>
      <w:r>
        <w:rPr>
          <w:rFonts w:eastAsia="Lucida Sans Unicode" w:cs="Times New Roman"/>
          <w:lang w:eastAsia="cs-CZ"/>
        </w:rPr>
        <w:t xml:space="preserve">přestavba stávajících obslužných ploch garáží a domova pro seniory - </w:t>
      </w:r>
      <w:r w:rsidRPr="008D3DB6">
        <w:rPr>
          <w:rFonts w:eastAsia="Lucida Sans Unicode" w:cs="Times New Roman"/>
          <w:lang w:eastAsia="cs-CZ"/>
        </w:rPr>
        <w:t>účelov</w:t>
      </w:r>
      <w:r>
        <w:rPr>
          <w:rFonts w:eastAsia="Lucida Sans Unicode" w:cs="Times New Roman"/>
          <w:lang w:eastAsia="cs-CZ"/>
        </w:rPr>
        <w:t>é</w:t>
      </w:r>
      <w:r w:rsidRPr="008D3DB6">
        <w:rPr>
          <w:rFonts w:eastAsia="Lucida Sans Unicode" w:cs="Times New Roman"/>
          <w:lang w:eastAsia="cs-CZ"/>
        </w:rPr>
        <w:t xml:space="preserve"> komunikace</w:t>
      </w:r>
      <w:r w:rsidRPr="00D6225F">
        <w:rPr>
          <w:rFonts w:eastAsia="Lucida Sans Unicode" w:cs="Times New Roman"/>
          <w:lang w:eastAsia="cs-CZ"/>
        </w:rPr>
        <w:t xml:space="preserve"> </w:t>
      </w:r>
      <w:r>
        <w:rPr>
          <w:rFonts w:eastAsia="Lucida Sans Unicode" w:cs="Times New Roman"/>
          <w:lang w:eastAsia="cs-CZ"/>
        </w:rPr>
        <w:t>s asfaltobetonovým krytem</w:t>
      </w:r>
      <w:r w:rsidR="00C637B6">
        <w:rPr>
          <w:rFonts w:eastAsia="Lucida Sans Unicode" w:cs="Times New Roman"/>
          <w:lang w:eastAsia="cs-CZ"/>
        </w:rPr>
        <w:t xml:space="preserve"> vč. plochy u garáží a</w:t>
      </w:r>
      <w:r>
        <w:rPr>
          <w:rFonts w:eastAsia="Lucida Sans Unicode" w:cs="Times New Roman"/>
          <w:lang w:eastAsia="cs-CZ"/>
        </w:rPr>
        <w:t xml:space="preserve"> parkoviště z beton. </w:t>
      </w:r>
      <w:r w:rsidR="00C637B6">
        <w:rPr>
          <w:rFonts w:eastAsia="Lucida Sans Unicode" w:cs="Times New Roman"/>
          <w:lang w:eastAsia="cs-CZ"/>
        </w:rPr>
        <w:t>zatravňovací dlažby</w:t>
      </w:r>
    </w:p>
    <w:p w14:paraId="17E4A87E" w14:textId="77777777" w:rsidR="00F2620A" w:rsidRDefault="00F2620A" w:rsidP="00F2620A">
      <w:pPr>
        <w:tabs>
          <w:tab w:val="left" w:pos="-360"/>
          <w:tab w:val="left" w:pos="0"/>
        </w:tabs>
        <w:spacing w:after="120"/>
        <w:jc w:val="both"/>
      </w:pPr>
      <w:r>
        <w:t>Komunikace pro pěší provoz s krytem z beton. zámkové dlažby</w:t>
      </w:r>
    </w:p>
    <w:p w14:paraId="3A209E00" w14:textId="77777777" w:rsidR="00F2620A" w:rsidRDefault="00F2620A" w:rsidP="00F2620A">
      <w:pPr>
        <w:pStyle w:val="Odstavecseseznamem"/>
        <w:widowControl w:val="0"/>
        <w:numPr>
          <w:ilvl w:val="0"/>
          <w:numId w:val="4"/>
        </w:numPr>
        <w:tabs>
          <w:tab w:val="left" w:pos="-360"/>
          <w:tab w:val="left" w:pos="0"/>
        </w:tabs>
        <w:suppressAutoHyphens/>
        <w:spacing w:after="120"/>
        <w:jc w:val="both"/>
        <w:rPr>
          <w:rFonts w:eastAsia="Lucida Sans Unicode" w:cs="Times New Roman"/>
          <w:lang w:eastAsia="cs-CZ"/>
        </w:rPr>
      </w:pPr>
      <w:r>
        <w:rPr>
          <w:rFonts w:eastAsia="Lucida Sans Unicode" w:cs="Times New Roman"/>
          <w:lang w:eastAsia="cs-CZ"/>
        </w:rPr>
        <w:t xml:space="preserve">přestavba chodníku podél </w:t>
      </w:r>
      <w:r w:rsidRPr="008D3DB6">
        <w:rPr>
          <w:rFonts w:eastAsia="Lucida Sans Unicode" w:cs="Times New Roman"/>
          <w:lang w:eastAsia="cs-CZ"/>
        </w:rPr>
        <w:t>ul. Mladých horníků</w:t>
      </w:r>
      <w:r>
        <w:rPr>
          <w:rFonts w:eastAsia="Lucida Sans Unicode" w:cs="Times New Roman"/>
          <w:lang w:eastAsia="cs-CZ"/>
        </w:rPr>
        <w:t xml:space="preserve"> š. 1,75m  – součást místní obslužné komunikace </w:t>
      </w:r>
    </w:p>
    <w:p w14:paraId="105A30A2" w14:textId="77B02836" w:rsidR="00F2620A" w:rsidRDefault="00F2620A" w:rsidP="00F2620A">
      <w:pPr>
        <w:pStyle w:val="Odstavecseseznamem"/>
        <w:widowControl w:val="0"/>
        <w:numPr>
          <w:ilvl w:val="0"/>
          <w:numId w:val="4"/>
        </w:numPr>
        <w:tabs>
          <w:tab w:val="left" w:pos="-360"/>
          <w:tab w:val="left" w:pos="0"/>
        </w:tabs>
        <w:suppressAutoHyphens/>
        <w:spacing w:after="120"/>
        <w:jc w:val="both"/>
        <w:rPr>
          <w:rFonts w:eastAsia="Lucida Sans Unicode" w:cs="Times New Roman"/>
          <w:lang w:eastAsia="cs-CZ"/>
        </w:rPr>
      </w:pPr>
      <w:r>
        <w:rPr>
          <w:rFonts w:eastAsia="Lucida Sans Unicode" w:cs="Times New Roman"/>
          <w:lang w:eastAsia="cs-CZ"/>
        </w:rPr>
        <w:t xml:space="preserve">navazující nové chodníky ke vstupu do budovy vč. schodiště propojujícího chodník u vstupu s chodníkem </w:t>
      </w:r>
      <w:r w:rsidRPr="008D3DB6">
        <w:rPr>
          <w:rFonts w:eastAsia="Lucida Sans Unicode" w:cs="Times New Roman"/>
          <w:lang w:eastAsia="cs-CZ"/>
        </w:rPr>
        <w:t>ul. Mladých horníků</w:t>
      </w:r>
    </w:p>
    <w:p w14:paraId="3C039EFF" w14:textId="44E9F89F" w:rsidR="00C637B6" w:rsidRDefault="00C637B6" w:rsidP="00F2620A">
      <w:pPr>
        <w:pStyle w:val="Odstavecseseznamem"/>
        <w:widowControl w:val="0"/>
        <w:numPr>
          <w:ilvl w:val="0"/>
          <w:numId w:val="4"/>
        </w:numPr>
        <w:tabs>
          <w:tab w:val="left" w:pos="-360"/>
          <w:tab w:val="left" w:pos="0"/>
        </w:tabs>
        <w:suppressAutoHyphens/>
        <w:spacing w:after="120"/>
        <w:jc w:val="both"/>
        <w:rPr>
          <w:rFonts w:eastAsia="Lucida Sans Unicode" w:cs="Times New Roman"/>
          <w:lang w:eastAsia="cs-CZ"/>
        </w:rPr>
      </w:pPr>
      <w:r>
        <w:t>nový chodník propojující nové parkoviště se vstupní stranou objektu</w:t>
      </w:r>
    </w:p>
    <w:p w14:paraId="123D13E7" w14:textId="77777777" w:rsidR="006D3DBB" w:rsidRPr="00A018E9" w:rsidRDefault="006D3DBB" w:rsidP="00B6124D">
      <w:pPr>
        <w:pStyle w:val="Nadpis1"/>
        <w:spacing w:after="120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2" w:name="_Toc14872409"/>
      <w:r w:rsidRPr="00A018E9">
        <w:rPr>
          <w:rStyle w:val="Siln"/>
          <w:rFonts w:ascii="Verdana" w:hAnsi="Verdana"/>
          <w:b/>
          <w:sz w:val="20"/>
          <w:szCs w:val="20"/>
        </w:rPr>
        <w:t>3. VYHODNOCENÍ PRŮZKUMŮ A PODKLADŮ</w:t>
      </w:r>
      <w:bookmarkEnd w:id="2"/>
    </w:p>
    <w:p w14:paraId="123D13E8" w14:textId="77777777" w:rsidR="006D3DBB" w:rsidRDefault="006D3DBB" w:rsidP="009230EF">
      <w:pPr>
        <w:tabs>
          <w:tab w:val="left" w:pos="-360"/>
          <w:tab w:val="left" w:pos="0"/>
        </w:tabs>
        <w:spacing w:before="120" w:after="120"/>
        <w:jc w:val="both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>Přehle</w:t>
      </w:r>
      <w:r w:rsidR="0083444A">
        <w:rPr>
          <w:rStyle w:val="Hypertextovodkaz"/>
          <w:color w:val="auto"/>
          <w:u w:val="none"/>
        </w:rPr>
        <w:t>d</w:t>
      </w:r>
      <w:r>
        <w:rPr>
          <w:rStyle w:val="Hypertextovodkaz"/>
          <w:color w:val="auto"/>
          <w:u w:val="none"/>
        </w:rPr>
        <w:t xml:space="preserve"> podkladů: </w:t>
      </w:r>
    </w:p>
    <w:p w14:paraId="123D13E9" w14:textId="77777777" w:rsidR="006D3DBB" w:rsidRDefault="006D3DBB" w:rsidP="00B6124D">
      <w:pPr>
        <w:tabs>
          <w:tab w:val="left" w:pos="-360"/>
          <w:tab w:val="left" w:pos="0"/>
        </w:tabs>
        <w:spacing w:after="120"/>
        <w:jc w:val="both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>Katastrální mapa</w:t>
      </w:r>
    </w:p>
    <w:p w14:paraId="123D13EA" w14:textId="77777777" w:rsidR="006D3DBB" w:rsidRDefault="006D3DBB" w:rsidP="00B6124D">
      <w:pPr>
        <w:pStyle w:val="Zkladntextodsazen"/>
        <w:tabs>
          <w:tab w:val="left" w:pos="-360"/>
          <w:tab w:val="left" w:pos="0"/>
        </w:tabs>
        <w:spacing w:after="120" w:line="240" w:lineRule="auto"/>
        <w:ind w:firstLine="0"/>
        <w:rPr>
          <w:sz w:val="20"/>
        </w:rPr>
      </w:pPr>
      <w:r>
        <w:rPr>
          <w:sz w:val="20"/>
        </w:rPr>
        <w:t>Mapov</w:t>
      </w:r>
      <w:r w:rsidR="008C5813">
        <w:rPr>
          <w:sz w:val="20"/>
        </w:rPr>
        <w:t>ý</w:t>
      </w:r>
      <w:r>
        <w:rPr>
          <w:sz w:val="20"/>
        </w:rPr>
        <w:t xml:space="preserve"> podklad s v</w:t>
      </w:r>
      <w:r w:rsidR="008C5813">
        <w:rPr>
          <w:sz w:val="20"/>
        </w:rPr>
        <w:t>ý</w:t>
      </w:r>
      <w:r>
        <w:rPr>
          <w:sz w:val="20"/>
        </w:rPr>
        <w:t>škopisem v měř. 1:500</w:t>
      </w:r>
    </w:p>
    <w:p w14:paraId="123D13EB" w14:textId="77777777" w:rsidR="006D3DBB" w:rsidRDefault="00C00FBE" w:rsidP="00B6124D">
      <w:pPr>
        <w:tabs>
          <w:tab w:val="left" w:pos="-360"/>
          <w:tab w:val="left" w:pos="0"/>
        </w:tabs>
        <w:spacing w:after="120"/>
        <w:jc w:val="both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>Dispoz</w:t>
      </w:r>
      <w:r w:rsidR="00B93694">
        <w:rPr>
          <w:rStyle w:val="Hypertextovodkaz"/>
          <w:color w:val="auto"/>
          <w:u w:val="none"/>
        </w:rPr>
        <w:t>i</w:t>
      </w:r>
      <w:r>
        <w:rPr>
          <w:rStyle w:val="Hypertextovodkaz"/>
          <w:color w:val="auto"/>
          <w:u w:val="none"/>
        </w:rPr>
        <w:t>ce</w:t>
      </w:r>
      <w:r w:rsidR="006D3DBB">
        <w:rPr>
          <w:rStyle w:val="Hypertextovodkaz"/>
          <w:color w:val="auto"/>
          <w:u w:val="none"/>
        </w:rPr>
        <w:t xml:space="preserve"> investora a zadavatele stavby</w:t>
      </w:r>
    </w:p>
    <w:p w14:paraId="123D13EC" w14:textId="77777777" w:rsidR="00663EDD" w:rsidRDefault="00663EDD" w:rsidP="00B6124D">
      <w:pPr>
        <w:tabs>
          <w:tab w:val="left" w:pos="-360"/>
          <w:tab w:val="left" w:pos="0"/>
        </w:tabs>
        <w:spacing w:after="120"/>
        <w:jc w:val="both"/>
        <w:rPr>
          <w:rStyle w:val="Hypertextovodkaz"/>
          <w:color w:val="auto"/>
          <w:u w:val="none"/>
        </w:rPr>
      </w:pPr>
      <w:r w:rsidRPr="00663EDD">
        <w:t>Podklady správců inženýrských sítí o průběhu jejich vedení</w:t>
      </w:r>
    </w:p>
    <w:p w14:paraId="123D13ED" w14:textId="77777777" w:rsidR="006D3DBB" w:rsidRDefault="003B0556" w:rsidP="00B6124D">
      <w:pPr>
        <w:tabs>
          <w:tab w:val="left" w:pos="-360"/>
          <w:tab w:val="left" w:pos="0"/>
        </w:tabs>
        <w:spacing w:after="120"/>
        <w:jc w:val="both"/>
        <w:rPr>
          <w:rStyle w:val="Hypertextovodkaz"/>
          <w:color w:val="auto"/>
          <w:u w:val="none"/>
        </w:rPr>
      </w:pPr>
      <w:r w:rsidRPr="003B0556">
        <w:t>Na základě uvedených podkladů bylo navrženo výškové, šířkové a směrové uspořádání projektovaných zpevněných ploch.</w:t>
      </w:r>
    </w:p>
    <w:p w14:paraId="123D13EE" w14:textId="5D5DC13C" w:rsidR="0083444A" w:rsidRDefault="0083444A" w:rsidP="00B6124D">
      <w:pPr>
        <w:tabs>
          <w:tab w:val="left" w:pos="-360"/>
          <w:tab w:val="left" w:pos="0"/>
        </w:tabs>
        <w:spacing w:after="120"/>
        <w:jc w:val="both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 xml:space="preserve">Dále byl v zájmovém území zpracován </w:t>
      </w:r>
      <w:r w:rsidR="00F2620A">
        <w:rPr>
          <w:rStyle w:val="Hypertextovodkaz"/>
          <w:color w:val="auto"/>
          <w:u w:val="none"/>
        </w:rPr>
        <w:t>inženýrskogeologický průzkum</w:t>
      </w:r>
      <w:r w:rsidR="00992729">
        <w:rPr>
          <w:rStyle w:val="Hypertextovodkaz"/>
          <w:color w:val="auto"/>
          <w:u w:val="none"/>
        </w:rPr>
        <w:t xml:space="preserve"> (Ing. </w:t>
      </w:r>
      <w:proofErr w:type="spellStart"/>
      <w:r w:rsidR="00992729">
        <w:rPr>
          <w:rStyle w:val="Hypertextovodkaz"/>
          <w:color w:val="auto"/>
          <w:u w:val="none"/>
        </w:rPr>
        <w:t>Chaloupský</w:t>
      </w:r>
      <w:proofErr w:type="spellEnd"/>
      <w:r w:rsidR="00992729">
        <w:rPr>
          <w:rStyle w:val="Hypertextovodkaz"/>
          <w:color w:val="auto"/>
          <w:u w:val="none"/>
        </w:rPr>
        <w:t xml:space="preserve"> 06/2019)</w:t>
      </w:r>
      <w:r>
        <w:rPr>
          <w:rStyle w:val="Hypertextovodkaz"/>
          <w:color w:val="auto"/>
          <w:u w:val="none"/>
        </w:rPr>
        <w:t>.</w:t>
      </w:r>
      <w:r w:rsidR="00992729">
        <w:rPr>
          <w:rStyle w:val="Hypertextovodkaz"/>
          <w:color w:val="auto"/>
          <w:u w:val="none"/>
        </w:rPr>
        <w:t xml:space="preserve"> Tento průzkum v podloží komunikací prokázal navážky a </w:t>
      </w:r>
      <w:proofErr w:type="spellStart"/>
      <w:r w:rsidR="00992729">
        <w:rPr>
          <w:rStyle w:val="Hypertextovodkaz"/>
          <w:color w:val="auto"/>
          <w:u w:val="none"/>
        </w:rPr>
        <w:t>jílovíté</w:t>
      </w:r>
      <w:proofErr w:type="spellEnd"/>
      <w:r w:rsidR="00992729">
        <w:rPr>
          <w:rStyle w:val="Hypertextovodkaz"/>
          <w:color w:val="auto"/>
          <w:u w:val="none"/>
        </w:rPr>
        <w:t xml:space="preserve"> zeminy, </w:t>
      </w:r>
      <w:r w:rsidR="00992729" w:rsidRPr="00490EA6">
        <w:t>dle ČSN 736133</w:t>
      </w:r>
      <w:r w:rsidR="00992729">
        <w:t xml:space="preserve"> nevhodné pro podloží vozovek. Podloží bude v </w:t>
      </w:r>
      <w:proofErr w:type="spellStart"/>
      <w:r w:rsidR="00992729">
        <w:t>tl</w:t>
      </w:r>
      <w:proofErr w:type="spellEnd"/>
      <w:r w:rsidR="00992729">
        <w:t xml:space="preserve">. </w:t>
      </w:r>
      <w:r w:rsidR="00992729" w:rsidRPr="00490EA6">
        <w:t xml:space="preserve">50cm </w:t>
      </w:r>
      <w:r w:rsidR="00422C26">
        <w:t>(</w:t>
      </w:r>
      <w:proofErr w:type="spellStart"/>
      <w:r w:rsidR="00422C26">
        <w:t>tl</w:t>
      </w:r>
      <w:proofErr w:type="spellEnd"/>
      <w:r w:rsidR="00422C26">
        <w:t xml:space="preserve">. 30cm u chodníků a plochy u garáží) </w:t>
      </w:r>
      <w:r w:rsidR="00992729" w:rsidRPr="00490EA6">
        <w:t>vyměněn</w:t>
      </w:r>
      <w:r w:rsidR="00992729">
        <w:t>o</w:t>
      </w:r>
      <w:r w:rsidR="00992729" w:rsidRPr="00490EA6">
        <w:t xml:space="preserve"> za vhodný </w:t>
      </w:r>
      <w:proofErr w:type="spellStart"/>
      <w:r w:rsidR="00992729" w:rsidRPr="00490EA6">
        <w:t>nenamrzavý</w:t>
      </w:r>
      <w:proofErr w:type="spellEnd"/>
      <w:r w:rsidR="00992729" w:rsidRPr="00490EA6">
        <w:t xml:space="preserve"> materiál.</w:t>
      </w:r>
    </w:p>
    <w:p w14:paraId="123D13F1" w14:textId="77777777" w:rsidR="00AD5029" w:rsidRPr="00A018E9" w:rsidRDefault="00AD5029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3" w:name="_Toc14872410"/>
      <w:r w:rsidRPr="00A018E9">
        <w:rPr>
          <w:rStyle w:val="Siln"/>
          <w:rFonts w:ascii="Verdana" w:hAnsi="Verdana"/>
          <w:b/>
          <w:sz w:val="20"/>
          <w:szCs w:val="20"/>
        </w:rPr>
        <w:t>4. VZTAH K OSTATNÍM OBJEKTŮM STAVBY</w:t>
      </w:r>
      <w:bookmarkEnd w:id="3"/>
    </w:p>
    <w:p w14:paraId="123D13F3" w14:textId="581A7A82" w:rsidR="00DD0333" w:rsidRDefault="00DD0333" w:rsidP="00992729">
      <w:pPr>
        <w:tabs>
          <w:tab w:val="left" w:pos="-360"/>
          <w:tab w:val="left" w:pos="0"/>
        </w:tabs>
        <w:spacing w:before="120" w:after="120"/>
        <w:jc w:val="both"/>
        <w:rPr>
          <w:rStyle w:val="Hypertextovodkaz"/>
          <w:color w:val="auto"/>
          <w:u w:val="none"/>
        </w:rPr>
      </w:pPr>
      <w:r w:rsidRPr="00DD0333">
        <w:t xml:space="preserve">S objektem pozemní komunikace souvisí stavební objekty inženýrských sítí a </w:t>
      </w:r>
      <w:r w:rsidR="00992729">
        <w:t>objektu domova pro seniory</w:t>
      </w:r>
      <w:r w:rsidRPr="00DD0333">
        <w:t>. S těmito objekty bude výstavba objektu komunikací koordinována.</w:t>
      </w:r>
    </w:p>
    <w:p w14:paraId="123D13F5" w14:textId="77777777" w:rsidR="006D3DBB" w:rsidRPr="00A018E9" w:rsidRDefault="00AD5029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4" w:name="_Toc14872411"/>
      <w:r w:rsidRPr="00A018E9">
        <w:rPr>
          <w:rStyle w:val="Siln"/>
          <w:rFonts w:ascii="Verdana" w:hAnsi="Verdana"/>
          <w:b/>
          <w:sz w:val="20"/>
          <w:szCs w:val="20"/>
        </w:rPr>
        <w:t>5</w:t>
      </w:r>
      <w:r w:rsidR="006D3DBB" w:rsidRPr="00A018E9">
        <w:rPr>
          <w:rStyle w:val="Siln"/>
          <w:rFonts w:ascii="Verdana" w:hAnsi="Verdana"/>
          <w:b/>
          <w:sz w:val="20"/>
          <w:szCs w:val="20"/>
        </w:rPr>
        <w:t>. NÁVRH ZPEVNĚNÝCH PLOCH</w:t>
      </w:r>
      <w:bookmarkEnd w:id="4"/>
    </w:p>
    <w:p w14:paraId="454AB49A" w14:textId="684CE111" w:rsidR="00EA2FBA" w:rsidRDefault="00EA2FBA" w:rsidP="00037E4B">
      <w:pPr>
        <w:tabs>
          <w:tab w:val="left" w:pos="-360"/>
          <w:tab w:val="left" w:pos="0"/>
        </w:tabs>
        <w:spacing w:before="120" w:after="120"/>
        <w:jc w:val="both"/>
        <w:rPr>
          <w:b/>
        </w:rPr>
      </w:pPr>
      <w:r>
        <w:rPr>
          <w:b/>
        </w:rPr>
        <w:t>ul. Vězeňská</w:t>
      </w:r>
      <w:r w:rsidR="002C72C1">
        <w:rPr>
          <w:b/>
        </w:rPr>
        <w:t xml:space="preserve"> – větev 1</w:t>
      </w:r>
    </w:p>
    <w:p w14:paraId="5DFF4053" w14:textId="77777777" w:rsidR="00EA2FBA" w:rsidRDefault="00EA2FBA" w:rsidP="00422C26">
      <w:pPr>
        <w:spacing w:after="120"/>
        <w:jc w:val="both"/>
      </w:pPr>
      <w:r>
        <w:t>Stávající obrusná vrstva bude odfrézována v </w:t>
      </w:r>
      <w:proofErr w:type="spellStart"/>
      <w:r>
        <w:t>tl</w:t>
      </w:r>
      <w:proofErr w:type="spellEnd"/>
      <w:r>
        <w:t>. 5cm a bude položena nová asfaltobetonová obrusná vrstva ACO 11 ve sjednocené šířce 5,25m a ve stávajícím podélném a příčném sklonu.</w:t>
      </w:r>
    </w:p>
    <w:p w14:paraId="24539BD4" w14:textId="3543180D" w:rsidR="00EA2FBA" w:rsidRDefault="00EA2FBA" w:rsidP="00EA2FBA">
      <w:pPr>
        <w:spacing w:after="120"/>
        <w:rPr>
          <w:b/>
          <w:bCs/>
        </w:rPr>
      </w:pPr>
      <w:r>
        <w:rPr>
          <w:b/>
          <w:bCs/>
        </w:rPr>
        <w:t>přístup ke garážím</w:t>
      </w:r>
      <w:r w:rsidR="002C72C1">
        <w:rPr>
          <w:b/>
          <w:bCs/>
        </w:rPr>
        <w:t xml:space="preserve"> – větev 2</w:t>
      </w:r>
    </w:p>
    <w:p w14:paraId="368DC82B" w14:textId="16BC5519" w:rsidR="00EA2FBA" w:rsidRDefault="00EA2FBA" w:rsidP="00422C26">
      <w:pPr>
        <w:spacing w:after="120"/>
        <w:jc w:val="both"/>
      </w:pPr>
      <w:r>
        <w:t>Dojde k přestavbě stávající účelové komunikace – bude upraveno šířkové a směrové uspořádání. Šířka bude upravena na 5,</w:t>
      </w:r>
      <w:r w:rsidR="004B4463">
        <w:t>0</w:t>
      </w:r>
      <w:r>
        <w:t xml:space="preserve">m a směrově bude upravená komunikace kolmá na komunikaci </w:t>
      </w:r>
      <w:r w:rsidRPr="008D3DB6">
        <w:t>ul. Mladých horníků</w:t>
      </w:r>
      <w:r>
        <w:t>. Podélné sklonové poměry zůstanou zachovány stávající z důvodu přístupu do obsluhovaných stávajících garáží. Konstrukce vozovky 1 je navržena ve složení:</w:t>
      </w:r>
    </w:p>
    <w:p w14:paraId="38763C17" w14:textId="77777777" w:rsidR="00422C26" w:rsidRDefault="00422C26" w:rsidP="00422C26">
      <w:pPr>
        <w:spacing w:after="120"/>
        <w:jc w:val="both"/>
      </w:pPr>
    </w:p>
    <w:p w14:paraId="7844DD47" w14:textId="77777777" w:rsidR="00EA2FBA" w:rsidRDefault="00EA2FBA" w:rsidP="00EA2FBA">
      <w:r>
        <w:lastRenderedPageBreak/>
        <w:t>ASFALTOVÝ BETON ACO 11 50/70,                           50mm, ČSN EN 13108-5</w:t>
      </w:r>
    </w:p>
    <w:p w14:paraId="04E9EDD3" w14:textId="77777777" w:rsidR="00EA2FBA" w:rsidRDefault="00EA2FBA" w:rsidP="00EA2FBA">
      <w:r>
        <w:t>SPOJOVACÍ POSTŘIK ASFALTOVÝ PS, A, 0,3 kg/m</w:t>
      </w:r>
      <w:r w:rsidRPr="00071F5B">
        <w:rPr>
          <w:vertAlign w:val="superscript"/>
        </w:rPr>
        <w:t>2</w:t>
      </w:r>
      <w:r>
        <w:t>,              ČSN 736129</w:t>
      </w:r>
    </w:p>
    <w:p w14:paraId="1D55630A" w14:textId="77777777" w:rsidR="00EA2FBA" w:rsidRDefault="00EA2FBA" w:rsidP="00EA2FBA">
      <w:r>
        <w:t>ASFALTOVÝ BETON ACL 16+ 50/70,                         70mm, ČSN EN 13108-1</w:t>
      </w:r>
    </w:p>
    <w:p w14:paraId="6FC530A0" w14:textId="77777777" w:rsidR="00EA2FBA" w:rsidRDefault="00EA2FBA" w:rsidP="00EA2FBA">
      <w:r>
        <w:t>INFILTRAČNÍ POSTŘIK ASFALTOVÝ 0,7 kg/m</w:t>
      </w:r>
      <w:r w:rsidRPr="00071F5B">
        <w:rPr>
          <w:vertAlign w:val="superscript"/>
        </w:rPr>
        <w:t>2</w:t>
      </w:r>
      <w:r>
        <w:t>,                     ČSN 736129</w:t>
      </w:r>
    </w:p>
    <w:p w14:paraId="7AE75A97" w14:textId="4CEFAF8A" w:rsidR="00EA2FBA" w:rsidRDefault="00EA2FBA" w:rsidP="00EA2FBA">
      <w:r>
        <w:t>SMĚS STMELENÁ CEMENTEM SC 0/32, C</w:t>
      </w:r>
      <w:r>
        <w:rPr>
          <w:vertAlign w:val="subscript"/>
        </w:rPr>
        <w:t>1,5/2</w:t>
      </w:r>
      <w:r>
        <w:t>,           120mm, ČSN EN 14227-1</w:t>
      </w:r>
    </w:p>
    <w:p w14:paraId="188B456C" w14:textId="711925FF" w:rsidR="00EA2FBA" w:rsidRDefault="00EA2FBA" w:rsidP="00EA2FBA">
      <w:r>
        <w:t xml:space="preserve">ŠTĚRKODRŤ ŠD 0-63,                                            180mm, ČSN 736126-1               </w:t>
      </w:r>
    </w:p>
    <w:p w14:paraId="31F30FBC" w14:textId="37A07BA5" w:rsidR="00EA2FBA" w:rsidRDefault="00EA2FBA" w:rsidP="00EA2FBA">
      <w:pPr>
        <w:spacing w:before="120"/>
      </w:pPr>
      <w:r>
        <w:t>CELKEM                                                                420mm</w:t>
      </w:r>
    </w:p>
    <w:p w14:paraId="54AF6E6C" w14:textId="77777777" w:rsidR="00EA2FBA" w:rsidRDefault="00EA2FBA" w:rsidP="00EA2FBA">
      <w:pPr>
        <w:spacing w:before="120"/>
      </w:pPr>
      <w:r>
        <w:t>Komunikace bude ohraničena betonovým silničním obrubníkem, na straně objektu domova pak i opěrnou zdí, oddělující komunikaci od sníženého chodníku.</w:t>
      </w:r>
    </w:p>
    <w:p w14:paraId="692BF7E1" w14:textId="77777777" w:rsidR="00EA2FBA" w:rsidRDefault="00EA2FBA" w:rsidP="00EA2FBA">
      <w:pPr>
        <w:spacing w:before="120"/>
        <w:rPr>
          <w:b/>
          <w:bCs/>
        </w:rPr>
      </w:pPr>
      <w:r>
        <w:rPr>
          <w:b/>
          <w:bCs/>
        </w:rPr>
        <w:t>obslužný dvůr garáží a domova pro seniory (severní)</w:t>
      </w:r>
    </w:p>
    <w:p w14:paraId="56D159FD" w14:textId="77777777" w:rsidR="00EA2FBA" w:rsidRDefault="00EA2FBA" w:rsidP="00EA2FBA">
      <w:pPr>
        <w:spacing w:before="120"/>
      </w:pPr>
      <w:r>
        <w:t xml:space="preserve">Účelová komunikace </w:t>
      </w:r>
    </w:p>
    <w:p w14:paraId="3876244A" w14:textId="2E2C2090" w:rsidR="00EA2FBA" w:rsidRDefault="00EA2FBA" w:rsidP="00C637B6">
      <w:pPr>
        <w:spacing w:before="120"/>
        <w:jc w:val="both"/>
      </w:pPr>
      <w:r>
        <w:t xml:space="preserve">šířky 6,0m navazuje na přístupovou komunikaci napojenou na komunikaci </w:t>
      </w:r>
      <w:r w:rsidRPr="008D3DB6">
        <w:t>ul. Mladých horníků</w:t>
      </w:r>
      <w:r>
        <w:t xml:space="preserve"> a její konstrukční složení je shodné. Od parkoviště a </w:t>
      </w:r>
      <w:r w:rsidR="00C637B6">
        <w:t>obslužné</w:t>
      </w:r>
      <w:r>
        <w:t xml:space="preserve"> plochy </w:t>
      </w:r>
      <w:r w:rsidR="00C637B6">
        <w:t xml:space="preserve">garáží </w:t>
      </w:r>
      <w:r>
        <w:t>je oddělena zapuštěným betonovým silničním obrubníkem.</w:t>
      </w:r>
    </w:p>
    <w:p w14:paraId="275AFB82" w14:textId="77777777" w:rsidR="00EA2FBA" w:rsidRDefault="00EA2FBA" w:rsidP="00EA2FBA">
      <w:pPr>
        <w:spacing w:before="120"/>
      </w:pPr>
      <w:r>
        <w:t xml:space="preserve">Kolmé parkoviště </w:t>
      </w:r>
    </w:p>
    <w:p w14:paraId="686F6EC9" w14:textId="77777777" w:rsidR="00EA2FBA" w:rsidRPr="0033442C" w:rsidRDefault="00EA2FBA" w:rsidP="00422C26">
      <w:pPr>
        <w:spacing w:before="120" w:after="120"/>
      </w:pPr>
      <w:r>
        <w:t>pro 14 osobních vozidel, z toho 2 stání pro vozidla tělesně postižených, je navrženo s konstrukcí 2:</w:t>
      </w:r>
    </w:p>
    <w:p w14:paraId="15F9F694" w14:textId="33B5B15A" w:rsidR="00EA2FBA" w:rsidRPr="0021468E" w:rsidRDefault="00EA2FBA" w:rsidP="00EA2FBA">
      <w:r w:rsidRPr="0021468E">
        <w:t>BETONOV</w:t>
      </w:r>
      <w:r w:rsidR="00571CAA">
        <w:t>É ZATRAVŇOVACÍ PANELY</w:t>
      </w:r>
      <w:r w:rsidRPr="0021468E">
        <w:t xml:space="preserve">              </w:t>
      </w:r>
      <w:r w:rsidR="00571CAA">
        <w:t>10</w:t>
      </w:r>
      <w:r w:rsidRPr="0021468E">
        <w:t>0mm, ČSN 736131-1</w:t>
      </w:r>
    </w:p>
    <w:p w14:paraId="31755246" w14:textId="3478DAE4" w:rsidR="00EA2FBA" w:rsidRDefault="00EA2FBA" w:rsidP="00EA2FBA">
      <w:r w:rsidRPr="0021468E">
        <w:t>LOŽE Z</w:t>
      </w:r>
      <w:r w:rsidR="00571CAA">
        <w:t> HLINITÉHO PÍSKU</w:t>
      </w:r>
      <w:r>
        <w:t xml:space="preserve">                              4</w:t>
      </w:r>
      <w:r w:rsidRPr="0021468E">
        <w:t xml:space="preserve">0mm </w:t>
      </w:r>
    </w:p>
    <w:p w14:paraId="09B30AC9" w14:textId="0B3B0C00" w:rsidR="00EA2FBA" w:rsidRDefault="00EA2FBA" w:rsidP="00EA2FBA">
      <w:r>
        <w:t xml:space="preserve">ŠTĚRKODRŤ ŠD 0-63,                                  </w:t>
      </w:r>
      <w:r w:rsidR="00571CAA">
        <w:t>20</w:t>
      </w:r>
      <w:r>
        <w:t xml:space="preserve">0mm, ČSN 736126-1               </w:t>
      </w:r>
    </w:p>
    <w:p w14:paraId="34B17B64" w14:textId="315DCC46" w:rsidR="00EA2FBA" w:rsidRDefault="00EA2FBA" w:rsidP="00EA2FBA">
      <w:pPr>
        <w:spacing w:before="120"/>
      </w:pPr>
      <w:r>
        <w:t>CELKEM                                                      3</w:t>
      </w:r>
      <w:r w:rsidR="00571CAA">
        <w:t>4</w:t>
      </w:r>
      <w:r>
        <w:t>0mm</w:t>
      </w:r>
    </w:p>
    <w:p w14:paraId="17D771EA" w14:textId="2A04F84F" w:rsidR="00EA2FBA" w:rsidRDefault="00EA2FBA" w:rsidP="00EA2FBA">
      <w:pPr>
        <w:spacing w:before="120"/>
      </w:pPr>
      <w:r>
        <w:t>Parkoviště je od chodníku odděleno betonovým silničním obrubníkem s </w:t>
      </w:r>
      <w:proofErr w:type="spellStart"/>
      <w:r>
        <w:t>podsázkou</w:t>
      </w:r>
      <w:proofErr w:type="spellEnd"/>
      <w:r>
        <w:t xml:space="preserve"> 12cm. Parkovací stání mají délku 5m a šířku 2,5m</w:t>
      </w:r>
      <w:r w:rsidR="004B4463">
        <w:t xml:space="preserve"> (krajní stání 2,75m)</w:t>
      </w:r>
      <w:r>
        <w:t>, vyhrazená stání pro vozidla tělesně postižených šířku 3,5m.</w:t>
      </w:r>
    </w:p>
    <w:p w14:paraId="2440E955" w14:textId="77777777" w:rsidR="00EA2FBA" w:rsidRDefault="00EA2FBA" w:rsidP="00EA2FBA">
      <w:pPr>
        <w:spacing w:before="120"/>
        <w:rPr>
          <w:b/>
          <w:bCs/>
        </w:rPr>
      </w:pPr>
      <w:r>
        <w:rPr>
          <w:b/>
          <w:bCs/>
        </w:rPr>
        <w:t>obslužný dvůr bytového domu</w:t>
      </w:r>
      <w:r w:rsidRPr="005726CB">
        <w:rPr>
          <w:b/>
          <w:bCs/>
        </w:rPr>
        <w:t xml:space="preserve"> </w:t>
      </w:r>
      <w:r>
        <w:rPr>
          <w:b/>
          <w:bCs/>
        </w:rPr>
        <w:t>a domova pro seniory (jižní)</w:t>
      </w:r>
    </w:p>
    <w:p w14:paraId="69441DF8" w14:textId="77777777" w:rsidR="00EA2FBA" w:rsidRPr="005726CB" w:rsidRDefault="00EA2FBA" w:rsidP="00C637B6">
      <w:pPr>
        <w:spacing w:before="120"/>
        <w:jc w:val="both"/>
      </w:pPr>
      <w:r>
        <w:t>Tato plocha napojená sjezdem na komunikaci ul. Vězeňskou slouží jako zásobovací dvůr objektu, odvoz odpadu, parkoviště pro zaměstnance se šesti stáními a přístup do bytového domu. Komunikace bude výškově přestavěna s konstrukcí vozovky 1, z důvodu návaznosti na výškovou úroveň nového vstupu. Komunikace bude ohraničena betonovým silničním obrubníkem, na straně bytového domu je přisazena k objektu.</w:t>
      </w:r>
    </w:p>
    <w:p w14:paraId="753EA6DB" w14:textId="77777777" w:rsidR="00EA2FBA" w:rsidRDefault="00EA2FBA" w:rsidP="00EA2FBA">
      <w:pPr>
        <w:spacing w:before="120"/>
        <w:rPr>
          <w:b/>
          <w:bCs/>
        </w:rPr>
      </w:pPr>
      <w:r>
        <w:rPr>
          <w:b/>
          <w:bCs/>
        </w:rPr>
        <w:t>chodníky</w:t>
      </w:r>
    </w:p>
    <w:p w14:paraId="7F9411BF" w14:textId="77777777" w:rsidR="00EA2FBA" w:rsidRDefault="00EA2FBA" w:rsidP="00EA2FBA">
      <w:pPr>
        <w:spacing w:before="120"/>
      </w:pPr>
      <w:r>
        <w:t>Chodníky jsou navrženy s konstrukcí 3:</w:t>
      </w:r>
    </w:p>
    <w:p w14:paraId="6E79C5B1" w14:textId="001E942C" w:rsidR="00EA2FBA" w:rsidRPr="0021468E" w:rsidRDefault="00EA2FBA" w:rsidP="00EA2FBA">
      <w:pPr>
        <w:spacing w:before="120"/>
      </w:pPr>
      <w:r w:rsidRPr="0021468E">
        <w:t xml:space="preserve">BETONOVÁ ZÁMKOVÁ DLAŽBA               </w:t>
      </w:r>
      <w:r>
        <w:t xml:space="preserve">        6</w:t>
      </w:r>
      <w:r w:rsidRPr="0021468E">
        <w:t>0mm, ČSN 736131-1</w:t>
      </w:r>
    </w:p>
    <w:p w14:paraId="50A21A80" w14:textId="223EBB63" w:rsidR="00EA2FBA" w:rsidRDefault="00EA2FBA" w:rsidP="00EA2FBA">
      <w:r w:rsidRPr="0021468E">
        <w:t xml:space="preserve">LOŽE Z DRTI 0-8           </w:t>
      </w:r>
      <w:r>
        <w:t xml:space="preserve">                               3</w:t>
      </w:r>
      <w:r w:rsidRPr="0021468E">
        <w:t xml:space="preserve">0mm </w:t>
      </w:r>
    </w:p>
    <w:p w14:paraId="75DF7C6F" w14:textId="77777777" w:rsidR="00EA2FBA" w:rsidRDefault="00EA2FBA" w:rsidP="00EA2FBA">
      <w:r>
        <w:t>SMĚS STMELENÁ CEMENTEM SC 0/32, C</w:t>
      </w:r>
      <w:r>
        <w:rPr>
          <w:vertAlign w:val="subscript"/>
        </w:rPr>
        <w:t>1,5/2</w:t>
      </w:r>
      <w:r>
        <w:t>, 100mm, ČSN EN 14227-1</w:t>
      </w:r>
    </w:p>
    <w:p w14:paraId="19B5A9A9" w14:textId="7C98A1EE" w:rsidR="00EA2FBA" w:rsidRDefault="00EA2FBA" w:rsidP="00EA2FBA">
      <w:r>
        <w:t xml:space="preserve">ŠTĚRKODRŤ ŠD 0-32,                                  100mm, ČSN 736126-1               </w:t>
      </w:r>
    </w:p>
    <w:p w14:paraId="693A6B45" w14:textId="15F30A0B" w:rsidR="00EA2FBA" w:rsidRPr="00D02C95" w:rsidRDefault="00EA2FBA" w:rsidP="00EA2FBA">
      <w:pPr>
        <w:spacing w:before="120"/>
      </w:pPr>
      <w:r>
        <w:t>CELKEM                                                      290mm</w:t>
      </w:r>
    </w:p>
    <w:p w14:paraId="123D144C" w14:textId="27D5000B" w:rsidR="003B2FD0" w:rsidRDefault="00EA2FBA" w:rsidP="00DD50A1">
      <w:pPr>
        <w:spacing w:before="120"/>
        <w:jc w:val="both"/>
      </w:pPr>
      <w:r>
        <w:t>Chodníky jsou ohraničeny betonovým záhonovým obrubníkem s </w:t>
      </w:r>
      <w:proofErr w:type="spellStart"/>
      <w:r>
        <w:t>podsázkou</w:t>
      </w:r>
      <w:proofErr w:type="spellEnd"/>
      <w:r>
        <w:t xml:space="preserve"> 6cm.</w:t>
      </w:r>
    </w:p>
    <w:p w14:paraId="123D144D" w14:textId="77777777" w:rsidR="003B2FD0" w:rsidRPr="003B2FD0" w:rsidRDefault="003B2FD0" w:rsidP="00B6124D">
      <w:pPr>
        <w:jc w:val="both"/>
        <w:rPr>
          <w:szCs w:val="20"/>
        </w:rPr>
      </w:pPr>
    </w:p>
    <w:p w14:paraId="123D144E" w14:textId="7FA52F14" w:rsidR="003B2FD0" w:rsidRPr="003B2FD0" w:rsidRDefault="00EA2FBA" w:rsidP="00EA2FBA">
      <w:pPr>
        <w:spacing w:after="120"/>
        <w:jc w:val="both"/>
        <w:rPr>
          <w:b/>
          <w:szCs w:val="20"/>
        </w:rPr>
      </w:pPr>
      <w:r>
        <w:rPr>
          <w:b/>
          <w:szCs w:val="20"/>
        </w:rPr>
        <w:t>opěrné</w:t>
      </w:r>
      <w:r w:rsidR="003B2FD0" w:rsidRPr="003B2FD0">
        <w:rPr>
          <w:b/>
          <w:szCs w:val="20"/>
        </w:rPr>
        <w:t xml:space="preserve"> zdi</w:t>
      </w:r>
    </w:p>
    <w:p w14:paraId="123D144F" w14:textId="2CC67422" w:rsidR="003B2FD0" w:rsidRDefault="00EA2FBA" w:rsidP="00B6124D">
      <w:pPr>
        <w:jc w:val="both"/>
        <w:rPr>
          <w:szCs w:val="20"/>
        </w:rPr>
      </w:pPr>
      <w:r>
        <w:rPr>
          <w:szCs w:val="20"/>
        </w:rPr>
        <w:t xml:space="preserve">Opěrné zdi 1-3 zabezpečují výškové rozdíly mezi navrženými zpevněnými plochami a okolním terénem. Zdi jsou navrženy monolitické z železobetonu C30/37 </w:t>
      </w:r>
      <w:r w:rsidRPr="00EA2FBA">
        <w:rPr>
          <w:szCs w:val="20"/>
        </w:rPr>
        <w:t xml:space="preserve">s prutovou výztuží B500 A. Tloušťka </w:t>
      </w:r>
      <w:r>
        <w:rPr>
          <w:szCs w:val="20"/>
        </w:rPr>
        <w:t>zdí</w:t>
      </w:r>
      <w:r w:rsidRPr="00EA2FBA">
        <w:rPr>
          <w:szCs w:val="20"/>
        </w:rPr>
        <w:t xml:space="preserve"> bude 300 mm</w:t>
      </w:r>
      <w:r>
        <w:rPr>
          <w:szCs w:val="20"/>
        </w:rPr>
        <w:t xml:space="preserve"> a 500 mm</w:t>
      </w:r>
      <w:r w:rsidRPr="00EA2FBA">
        <w:rPr>
          <w:szCs w:val="20"/>
        </w:rPr>
        <w:t xml:space="preserve">, výška dříku bude proměnná od </w:t>
      </w:r>
      <w:r>
        <w:rPr>
          <w:szCs w:val="20"/>
        </w:rPr>
        <w:t>0,70</w:t>
      </w:r>
      <w:r w:rsidRPr="00EA2FBA">
        <w:rPr>
          <w:szCs w:val="20"/>
        </w:rPr>
        <w:t xml:space="preserve"> do 3,15 m</w:t>
      </w:r>
      <w:r>
        <w:rPr>
          <w:szCs w:val="20"/>
        </w:rPr>
        <w:t>. Základy zdí o rozměrech 1,7x0,8 a 1,</w:t>
      </w:r>
      <w:r w:rsidR="00422C26">
        <w:rPr>
          <w:szCs w:val="20"/>
        </w:rPr>
        <w:t>3</w:t>
      </w:r>
      <w:r>
        <w:rPr>
          <w:szCs w:val="20"/>
        </w:rPr>
        <w:t xml:space="preserve">x0,5 m budou uloženy na podkladním betonu C16/20 </w:t>
      </w:r>
      <w:proofErr w:type="spellStart"/>
      <w:r>
        <w:rPr>
          <w:szCs w:val="20"/>
        </w:rPr>
        <w:t>tl</w:t>
      </w:r>
      <w:proofErr w:type="spellEnd"/>
      <w:r>
        <w:rPr>
          <w:szCs w:val="20"/>
        </w:rPr>
        <w:t xml:space="preserve"> 1</w:t>
      </w:r>
      <w:r w:rsidR="00422C26">
        <w:rPr>
          <w:szCs w:val="20"/>
        </w:rPr>
        <w:t>0</w:t>
      </w:r>
      <w:r>
        <w:rPr>
          <w:szCs w:val="20"/>
        </w:rPr>
        <w:t xml:space="preserve"> cm.</w:t>
      </w:r>
    </w:p>
    <w:p w14:paraId="61F0A5BB" w14:textId="77777777" w:rsidR="00B258F7" w:rsidRPr="00B258F7" w:rsidRDefault="00B258F7" w:rsidP="00B258F7">
      <w:pPr>
        <w:jc w:val="both"/>
        <w:rPr>
          <w:szCs w:val="20"/>
        </w:rPr>
      </w:pPr>
      <w:r w:rsidRPr="00B258F7">
        <w:rPr>
          <w:szCs w:val="20"/>
        </w:rPr>
        <w:t xml:space="preserve">Vnitřní líc opěrné zdi bude po odstranění bednění zasypán. Zemina pro zásyp bude posouzena oprávněnou osobou. Hutnění zásypu bude provedeno po max 300 mm. </w:t>
      </w:r>
    </w:p>
    <w:p w14:paraId="35EB6193" w14:textId="598B688B" w:rsidR="00B258F7" w:rsidRPr="00B258F7" w:rsidRDefault="00B258F7" w:rsidP="00677C43">
      <w:pPr>
        <w:jc w:val="both"/>
        <w:rPr>
          <w:szCs w:val="20"/>
        </w:rPr>
      </w:pPr>
      <w:r w:rsidRPr="00B258F7">
        <w:rPr>
          <w:szCs w:val="20"/>
        </w:rPr>
        <w:t xml:space="preserve">Požadovaná míra zhutnění pro štěrkové vrstvy vozovky ze štěrku tř.GW štěrk dobře zrněný dle </w:t>
      </w:r>
      <w:r w:rsidRPr="00B258F7">
        <w:rPr>
          <w:szCs w:val="20"/>
        </w:rPr>
        <w:lastRenderedPageBreak/>
        <w:t>ČSN 736133,</w:t>
      </w:r>
      <w:r w:rsidR="00677C43">
        <w:rPr>
          <w:szCs w:val="20"/>
        </w:rPr>
        <w:t xml:space="preserve"> </w:t>
      </w:r>
      <w:r w:rsidRPr="00B258F7">
        <w:rPr>
          <w:szCs w:val="20"/>
        </w:rPr>
        <w:t>Dle</w:t>
      </w:r>
      <w:r w:rsidR="00677C43">
        <w:rPr>
          <w:szCs w:val="20"/>
        </w:rPr>
        <w:t xml:space="preserve"> </w:t>
      </w:r>
      <w:r w:rsidRPr="00B258F7">
        <w:rPr>
          <w:szCs w:val="20"/>
        </w:rPr>
        <w:t>E1</w:t>
      </w:r>
      <w:r w:rsidR="00677C43">
        <w:rPr>
          <w:szCs w:val="20"/>
        </w:rPr>
        <w:t xml:space="preserve"> </w:t>
      </w:r>
      <w:r w:rsidRPr="00B258F7">
        <w:rPr>
          <w:szCs w:val="20"/>
        </w:rPr>
        <w:t>a E2</w:t>
      </w:r>
      <w:r w:rsidR="00677C43">
        <w:rPr>
          <w:szCs w:val="20"/>
        </w:rPr>
        <w:t xml:space="preserve"> </w:t>
      </w:r>
      <w:r w:rsidRPr="00B258F7">
        <w:rPr>
          <w:szCs w:val="20"/>
        </w:rPr>
        <w:t>Č</w:t>
      </w:r>
      <w:r w:rsidR="00677C43">
        <w:rPr>
          <w:szCs w:val="20"/>
        </w:rPr>
        <w:t>SN</w:t>
      </w:r>
      <w:r w:rsidRPr="00B258F7">
        <w:rPr>
          <w:szCs w:val="20"/>
        </w:rPr>
        <w:t> 721006</w:t>
      </w:r>
      <w:r w:rsidR="00677C43">
        <w:rPr>
          <w:szCs w:val="20"/>
        </w:rPr>
        <w:t xml:space="preserve"> </w:t>
      </w:r>
      <w:r w:rsidRPr="00B258F7">
        <w:rPr>
          <w:szCs w:val="20"/>
        </w:rPr>
        <w:t>je požadovaná míra zhutnění Edef2=</w:t>
      </w:r>
      <w:r w:rsidR="00677C43">
        <w:rPr>
          <w:szCs w:val="20"/>
        </w:rPr>
        <w:t xml:space="preserve"> </w:t>
      </w:r>
      <w:r w:rsidRPr="00B258F7">
        <w:rPr>
          <w:szCs w:val="20"/>
        </w:rPr>
        <w:t xml:space="preserve">100MPa, poměr Edef2/ Edef1 max 2,3   </w:t>
      </w:r>
      <w:proofErr w:type="spellStart"/>
      <w:r w:rsidRPr="00B258F7">
        <w:rPr>
          <w:szCs w:val="20"/>
        </w:rPr>
        <w:t>Mvd</w:t>
      </w:r>
      <w:proofErr w:type="spellEnd"/>
      <w:r w:rsidRPr="00B258F7">
        <w:rPr>
          <w:szCs w:val="20"/>
        </w:rPr>
        <w:t xml:space="preserve"> = 50MPa. </w:t>
      </w:r>
    </w:p>
    <w:p w14:paraId="24A581CB" w14:textId="163B8A91" w:rsidR="00B258F7" w:rsidRDefault="00B258F7" w:rsidP="00677C43">
      <w:pPr>
        <w:jc w:val="both"/>
        <w:rPr>
          <w:szCs w:val="20"/>
        </w:rPr>
      </w:pPr>
      <w:r w:rsidRPr="00B258F7">
        <w:rPr>
          <w:szCs w:val="20"/>
        </w:rPr>
        <w:t xml:space="preserve">Tř.GP štěrk špatně zrněný dle   ČSN  736133 </w:t>
      </w:r>
      <w:r w:rsidRPr="00B258F7">
        <w:rPr>
          <w:szCs w:val="20"/>
        </w:rPr>
        <w:br/>
        <w:t>Dle</w:t>
      </w:r>
      <w:r w:rsidR="00677C43">
        <w:rPr>
          <w:szCs w:val="20"/>
        </w:rPr>
        <w:t xml:space="preserve"> </w:t>
      </w:r>
      <w:r w:rsidRPr="00B258F7">
        <w:rPr>
          <w:szCs w:val="20"/>
        </w:rPr>
        <w:t>E1 a E2 Č</w:t>
      </w:r>
      <w:r w:rsidR="00C637B6">
        <w:rPr>
          <w:szCs w:val="20"/>
        </w:rPr>
        <w:t>SN</w:t>
      </w:r>
      <w:r w:rsidR="00677C43">
        <w:rPr>
          <w:szCs w:val="20"/>
        </w:rPr>
        <w:t xml:space="preserve"> </w:t>
      </w:r>
      <w:r w:rsidRPr="00B258F7">
        <w:rPr>
          <w:szCs w:val="20"/>
        </w:rPr>
        <w:t xml:space="preserve">721006 je požadovaná míra zhutnění Edef2= 80MPa, poměr Edef2/ Edef1 max 3   </w:t>
      </w:r>
      <w:proofErr w:type="spellStart"/>
      <w:r w:rsidRPr="00B258F7">
        <w:rPr>
          <w:szCs w:val="20"/>
        </w:rPr>
        <w:t>Mvd</w:t>
      </w:r>
      <w:proofErr w:type="spellEnd"/>
      <w:r w:rsidRPr="00B258F7">
        <w:rPr>
          <w:szCs w:val="20"/>
        </w:rPr>
        <w:t>= 40MPa.</w:t>
      </w:r>
    </w:p>
    <w:p w14:paraId="29AAD179" w14:textId="730060BC" w:rsidR="00AD06AA" w:rsidRDefault="00AD06AA" w:rsidP="00677C43">
      <w:pPr>
        <w:jc w:val="both"/>
        <w:rPr>
          <w:szCs w:val="20"/>
        </w:rPr>
      </w:pPr>
      <w:r>
        <w:rPr>
          <w:szCs w:val="20"/>
        </w:rPr>
        <w:t xml:space="preserve">Do koruny zdí bude osazeno ocel. trubkové zábradlí </w:t>
      </w:r>
      <w:proofErr w:type="spellStart"/>
      <w:r>
        <w:rPr>
          <w:szCs w:val="20"/>
        </w:rPr>
        <w:t>pr</w:t>
      </w:r>
      <w:proofErr w:type="spellEnd"/>
      <w:r>
        <w:rPr>
          <w:szCs w:val="20"/>
        </w:rPr>
        <w:t>. 60 mm se sloupky po 3 m, výšky 1,1 m.</w:t>
      </w:r>
    </w:p>
    <w:p w14:paraId="123D1451" w14:textId="77777777" w:rsidR="00145510" w:rsidRDefault="00145510" w:rsidP="00B6124D">
      <w:pPr>
        <w:jc w:val="both"/>
        <w:rPr>
          <w:b/>
          <w:szCs w:val="22"/>
        </w:rPr>
      </w:pPr>
    </w:p>
    <w:p w14:paraId="123D145F" w14:textId="77777777" w:rsidR="006D3DBB" w:rsidRDefault="006D3DBB" w:rsidP="00B6124D">
      <w:pPr>
        <w:pStyle w:val="slovanNadpis3"/>
        <w:tabs>
          <w:tab w:val="left" w:pos="0"/>
        </w:tabs>
        <w:spacing w:before="0" w:after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výškové řešení</w:t>
      </w:r>
    </w:p>
    <w:p w14:paraId="123D1475" w14:textId="7D40320B" w:rsidR="00107678" w:rsidRDefault="006D3DBB" w:rsidP="002C72C1">
      <w:pPr>
        <w:jc w:val="both"/>
        <w:rPr>
          <w:szCs w:val="20"/>
        </w:rPr>
      </w:pPr>
      <w:r>
        <w:rPr>
          <w:szCs w:val="20"/>
        </w:rPr>
        <w:t>Výškové řešení vychází z</w:t>
      </w:r>
      <w:r w:rsidR="00107678">
        <w:rPr>
          <w:szCs w:val="20"/>
        </w:rPr>
        <w:t> </w:t>
      </w:r>
      <w:r>
        <w:rPr>
          <w:szCs w:val="20"/>
        </w:rPr>
        <w:t>výškové</w:t>
      </w:r>
      <w:r w:rsidR="00107678">
        <w:rPr>
          <w:szCs w:val="20"/>
        </w:rPr>
        <w:t xml:space="preserve">ho uspořádání stávajících komunikací a respektuje návaznost navržených komunikací na výškovou úroveň stávajících sjezdů, vchodů do objektů </w:t>
      </w:r>
      <w:r w:rsidR="002C72C1">
        <w:rPr>
          <w:szCs w:val="20"/>
        </w:rPr>
        <w:t>a na výškovou úroveň nového objektu. Podélné sklony komunikací se pohybují v rozmezí 0,5 - 13,1%.</w:t>
      </w:r>
    </w:p>
    <w:p w14:paraId="123D1476" w14:textId="77777777" w:rsidR="006D3DBB" w:rsidRDefault="006D3DBB" w:rsidP="00B6124D">
      <w:pPr>
        <w:jc w:val="both"/>
        <w:rPr>
          <w:szCs w:val="20"/>
        </w:rPr>
      </w:pPr>
    </w:p>
    <w:p w14:paraId="123D1489" w14:textId="77777777" w:rsidR="004F01DA" w:rsidRDefault="006B0701" w:rsidP="00B6124D">
      <w:pPr>
        <w:spacing w:after="120"/>
        <w:jc w:val="both"/>
        <w:rPr>
          <w:b/>
          <w:szCs w:val="20"/>
        </w:rPr>
      </w:pPr>
      <w:r>
        <w:rPr>
          <w:b/>
          <w:szCs w:val="20"/>
        </w:rPr>
        <w:t>příčný sklon</w:t>
      </w:r>
    </w:p>
    <w:p w14:paraId="123D148C" w14:textId="5DE6CE13" w:rsidR="00B81C44" w:rsidRPr="004F01DA" w:rsidRDefault="004F01DA" w:rsidP="00B6124D">
      <w:pPr>
        <w:jc w:val="both"/>
        <w:rPr>
          <w:szCs w:val="20"/>
        </w:rPr>
      </w:pPr>
      <w:r w:rsidRPr="004F01DA">
        <w:rPr>
          <w:szCs w:val="20"/>
        </w:rPr>
        <w:t xml:space="preserve">Základní příčný sklon </w:t>
      </w:r>
      <w:r w:rsidR="002C72C1">
        <w:rPr>
          <w:szCs w:val="20"/>
        </w:rPr>
        <w:t>vozovek je jednostranný</w:t>
      </w:r>
      <w:r>
        <w:rPr>
          <w:szCs w:val="20"/>
        </w:rPr>
        <w:t xml:space="preserve"> 2,5%. </w:t>
      </w:r>
      <w:r w:rsidR="00B81C44" w:rsidRPr="00B81C44">
        <w:rPr>
          <w:szCs w:val="20"/>
        </w:rPr>
        <w:t>Příčný sklon chodník</w:t>
      </w:r>
      <w:r w:rsidR="002C72C1">
        <w:rPr>
          <w:szCs w:val="20"/>
        </w:rPr>
        <w:t>ů a parkoviště</w:t>
      </w:r>
      <w:r w:rsidR="00B81C44" w:rsidRPr="00B81C44">
        <w:rPr>
          <w:szCs w:val="20"/>
        </w:rPr>
        <w:t xml:space="preserve"> je navržen jednostranný 2,0%.</w:t>
      </w:r>
    </w:p>
    <w:p w14:paraId="123D148D" w14:textId="77777777" w:rsidR="00145510" w:rsidRDefault="00145510" w:rsidP="00B6124D">
      <w:pPr>
        <w:jc w:val="both"/>
        <w:rPr>
          <w:szCs w:val="20"/>
        </w:rPr>
      </w:pPr>
    </w:p>
    <w:p w14:paraId="123D148E" w14:textId="77777777" w:rsidR="006D3DBB" w:rsidRPr="00A018E9" w:rsidRDefault="001161E0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5" w:name="_Toc14872412"/>
      <w:r w:rsidRPr="00A018E9">
        <w:rPr>
          <w:rStyle w:val="Siln"/>
          <w:rFonts w:ascii="Verdana" w:hAnsi="Verdana"/>
          <w:b/>
          <w:sz w:val="20"/>
          <w:szCs w:val="20"/>
        </w:rPr>
        <w:t>6</w:t>
      </w:r>
      <w:r w:rsidR="006D3DBB" w:rsidRPr="00A018E9">
        <w:rPr>
          <w:rStyle w:val="Siln"/>
          <w:rFonts w:ascii="Verdana" w:hAnsi="Verdana"/>
          <w:b/>
          <w:sz w:val="20"/>
          <w:szCs w:val="20"/>
        </w:rPr>
        <w:t>. ZÁSADY ODVODNĚNÍ</w:t>
      </w:r>
      <w:bookmarkEnd w:id="5"/>
    </w:p>
    <w:p w14:paraId="47ABD0AC" w14:textId="77777777" w:rsidR="002C72C1" w:rsidRPr="001A4BD9" w:rsidRDefault="002C72C1" w:rsidP="002C72C1">
      <w:pPr>
        <w:spacing w:before="120" w:after="120"/>
      </w:pPr>
      <w:r>
        <w:t>Způsob odvodnění komunikací:</w:t>
      </w:r>
    </w:p>
    <w:p w14:paraId="25713B6A" w14:textId="26EB5E42" w:rsidR="002C72C1" w:rsidRPr="001A4BD9" w:rsidRDefault="002C72C1" w:rsidP="002C72C1">
      <w:pPr>
        <w:tabs>
          <w:tab w:val="left" w:pos="-360"/>
          <w:tab w:val="left" w:pos="0"/>
        </w:tabs>
        <w:spacing w:after="120"/>
        <w:jc w:val="both"/>
        <w:rPr>
          <w:bCs/>
        </w:rPr>
      </w:pPr>
      <w:r w:rsidRPr="001A4BD9">
        <w:rPr>
          <w:bCs/>
        </w:rPr>
        <w:t>ul. Vězeňská</w:t>
      </w:r>
      <w:r>
        <w:rPr>
          <w:bCs/>
        </w:rPr>
        <w:t xml:space="preserve"> - </w:t>
      </w:r>
      <w:r w:rsidRPr="001A4BD9">
        <w:rPr>
          <w:bCs/>
        </w:rPr>
        <w:t>do stávající přemístěné uliční vpusti</w:t>
      </w:r>
      <w:r w:rsidR="004B4463">
        <w:rPr>
          <w:bCs/>
        </w:rPr>
        <w:t xml:space="preserve"> UV5</w:t>
      </w:r>
    </w:p>
    <w:p w14:paraId="78D80911" w14:textId="01ACABA7" w:rsidR="00677C43" w:rsidRDefault="002C72C1" w:rsidP="002C72C1">
      <w:pPr>
        <w:rPr>
          <w:bCs/>
        </w:rPr>
      </w:pPr>
      <w:r w:rsidRPr="001A4BD9">
        <w:rPr>
          <w:bCs/>
        </w:rPr>
        <w:t>přístup ke garážím</w:t>
      </w:r>
      <w:r>
        <w:rPr>
          <w:bCs/>
        </w:rPr>
        <w:t xml:space="preserve"> - </w:t>
      </w:r>
      <w:r w:rsidRPr="001A4BD9">
        <w:rPr>
          <w:bCs/>
        </w:rPr>
        <w:t>do nové</w:t>
      </w:r>
      <w:r w:rsidR="00677C43" w:rsidRPr="001A4BD9">
        <w:rPr>
          <w:bCs/>
        </w:rPr>
        <w:t xml:space="preserve"> uliční vpusti</w:t>
      </w:r>
      <w:r w:rsidR="004B4463">
        <w:rPr>
          <w:bCs/>
        </w:rPr>
        <w:t xml:space="preserve"> UV1</w:t>
      </w:r>
    </w:p>
    <w:p w14:paraId="3A02FCDC" w14:textId="5EA6E2F0" w:rsidR="002C72C1" w:rsidRPr="001A4BD9" w:rsidRDefault="002C72C1" w:rsidP="007646F2">
      <w:pPr>
        <w:spacing w:before="120" w:after="120"/>
        <w:jc w:val="both"/>
        <w:rPr>
          <w:bCs/>
        </w:rPr>
      </w:pPr>
      <w:r w:rsidRPr="001A4BD9">
        <w:rPr>
          <w:bCs/>
        </w:rPr>
        <w:t xml:space="preserve">obslužný dvůr severní </w:t>
      </w:r>
      <w:r>
        <w:rPr>
          <w:bCs/>
        </w:rPr>
        <w:t>- ú</w:t>
      </w:r>
      <w:r w:rsidRPr="001A4BD9">
        <w:rPr>
          <w:bCs/>
        </w:rPr>
        <w:t>čelová komunikace a parkoviště jsou odvodněny do nových uličních vpustí</w:t>
      </w:r>
      <w:r w:rsidR="00571CAA">
        <w:rPr>
          <w:bCs/>
        </w:rPr>
        <w:t xml:space="preserve"> </w:t>
      </w:r>
      <w:r w:rsidR="004B4463">
        <w:rPr>
          <w:bCs/>
        </w:rPr>
        <w:t xml:space="preserve">UV2 a UV3 </w:t>
      </w:r>
      <w:r w:rsidR="00571CAA">
        <w:rPr>
          <w:bCs/>
        </w:rPr>
        <w:t>(parkoviště částečně vsakováním)</w:t>
      </w:r>
      <w:r w:rsidRPr="001A4BD9">
        <w:rPr>
          <w:bCs/>
        </w:rPr>
        <w:t xml:space="preserve">, </w:t>
      </w:r>
      <w:r w:rsidR="007646F2">
        <w:rPr>
          <w:bCs/>
        </w:rPr>
        <w:t>obslužná</w:t>
      </w:r>
      <w:r w:rsidRPr="001A4BD9">
        <w:rPr>
          <w:bCs/>
        </w:rPr>
        <w:t xml:space="preserve"> plocha </w:t>
      </w:r>
      <w:r w:rsidR="007646F2">
        <w:rPr>
          <w:bCs/>
        </w:rPr>
        <w:t>garáží</w:t>
      </w:r>
      <w:r w:rsidRPr="001A4BD9">
        <w:rPr>
          <w:bCs/>
        </w:rPr>
        <w:t xml:space="preserve"> do </w:t>
      </w:r>
      <w:r w:rsidR="007646F2">
        <w:rPr>
          <w:bCs/>
        </w:rPr>
        <w:t>odvodňovacího žlábku, zaústěného do šachty stávající kanalizace</w:t>
      </w:r>
      <w:r w:rsidRPr="001A4BD9">
        <w:rPr>
          <w:bCs/>
        </w:rPr>
        <w:t>.</w:t>
      </w:r>
    </w:p>
    <w:p w14:paraId="6B6F37AA" w14:textId="619C9B97" w:rsidR="00B72A59" w:rsidRDefault="002C72C1" w:rsidP="002C72C1">
      <w:pPr>
        <w:jc w:val="both"/>
        <w:rPr>
          <w:szCs w:val="22"/>
        </w:rPr>
      </w:pPr>
      <w:r w:rsidRPr="001A4BD9">
        <w:rPr>
          <w:bCs/>
        </w:rPr>
        <w:t>obslužný dvůr jižní</w:t>
      </w:r>
      <w:r>
        <w:rPr>
          <w:bCs/>
        </w:rPr>
        <w:t xml:space="preserve"> - </w:t>
      </w:r>
      <w:r w:rsidRPr="001A4BD9">
        <w:rPr>
          <w:bCs/>
        </w:rPr>
        <w:t>do nové uliční vpusti</w:t>
      </w:r>
      <w:r w:rsidR="004B4463">
        <w:rPr>
          <w:bCs/>
        </w:rPr>
        <w:t xml:space="preserve"> UV4</w:t>
      </w:r>
      <w:r>
        <w:rPr>
          <w:bCs/>
        </w:rPr>
        <w:t>.</w:t>
      </w:r>
    </w:p>
    <w:p w14:paraId="123D1492" w14:textId="77777777" w:rsidR="009125F8" w:rsidRDefault="009125F8" w:rsidP="00B6124D">
      <w:pPr>
        <w:jc w:val="both"/>
        <w:rPr>
          <w:szCs w:val="22"/>
        </w:rPr>
      </w:pPr>
    </w:p>
    <w:p w14:paraId="123D1493" w14:textId="77777777" w:rsidR="004E7DAE" w:rsidRDefault="004E7DAE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6" w:name="_Toc14872413"/>
      <w:r w:rsidRPr="004E7DAE">
        <w:rPr>
          <w:rStyle w:val="Siln"/>
          <w:rFonts w:ascii="Verdana" w:hAnsi="Verdana"/>
          <w:b/>
          <w:sz w:val="20"/>
          <w:szCs w:val="20"/>
        </w:rPr>
        <w:t>7. VYTYČENÍ</w:t>
      </w:r>
      <w:bookmarkEnd w:id="6"/>
    </w:p>
    <w:p w14:paraId="123D1572" w14:textId="16721986" w:rsidR="00A752B0" w:rsidRDefault="002C72C1" w:rsidP="00677C43">
      <w:pPr>
        <w:spacing w:before="120"/>
        <w:jc w:val="both"/>
        <w:rPr>
          <w:rStyle w:val="Siln"/>
          <w:b w:val="0"/>
          <w:szCs w:val="20"/>
        </w:rPr>
      </w:pPr>
      <w:r w:rsidRPr="00037E4B">
        <w:rPr>
          <w:rStyle w:val="Siln"/>
          <w:b w:val="0"/>
          <w:szCs w:val="20"/>
        </w:rPr>
        <w:t>Komunikace jsou vytyčeny délkovými kótami od nového a stávajícího objektu domova pro seniory.</w:t>
      </w:r>
    </w:p>
    <w:p w14:paraId="3249D7FD" w14:textId="77777777" w:rsidR="00571CAA" w:rsidRPr="00037E4B" w:rsidRDefault="00571CAA" w:rsidP="00571CAA">
      <w:pPr>
        <w:rPr>
          <w:rStyle w:val="Siln"/>
          <w:b w:val="0"/>
          <w:szCs w:val="20"/>
        </w:rPr>
      </w:pPr>
    </w:p>
    <w:p w14:paraId="123D1573" w14:textId="77777777" w:rsidR="00043C23" w:rsidRPr="00A018E9" w:rsidRDefault="004E7DAE" w:rsidP="00B6124D">
      <w:pPr>
        <w:pStyle w:val="Nadpis1"/>
        <w:jc w:val="both"/>
        <w:rPr>
          <w:rStyle w:val="Siln"/>
          <w:b/>
        </w:rPr>
      </w:pPr>
      <w:bookmarkStart w:id="7" w:name="_Toc14872414"/>
      <w:r>
        <w:rPr>
          <w:rStyle w:val="Siln"/>
          <w:rFonts w:ascii="Verdana" w:hAnsi="Verdana"/>
          <w:b/>
          <w:sz w:val="20"/>
          <w:szCs w:val="20"/>
        </w:rPr>
        <w:t>8</w:t>
      </w:r>
      <w:r w:rsidR="00043C23" w:rsidRPr="00A018E9">
        <w:rPr>
          <w:rStyle w:val="Siln"/>
          <w:rFonts w:ascii="Verdana" w:hAnsi="Verdana"/>
          <w:b/>
          <w:sz w:val="20"/>
          <w:szCs w:val="20"/>
        </w:rPr>
        <w:t>. DOPRAVNÍ ZNAČENÍ</w:t>
      </w:r>
      <w:bookmarkEnd w:id="7"/>
      <w:r w:rsidR="00043C23" w:rsidRPr="00A018E9">
        <w:rPr>
          <w:rStyle w:val="Siln"/>
          <w:b/>
        </w:rPr>
        <w:tab/>
      </w:r>
    </w:p>
    <w:p w14:paraId="123D1574" w14:textId="32BD7F34" w:rsidR="00043C23" w:rsidRDefault="00043C23" w:rsidP="009230EF">
      <w:pPr>
        <w:spacing w:before="120"/>
        <w:jc w:val="both"/>
        <w:rPr>
          <w:szCs w:val="22"/>
        </w:rPr>
      </w:pPr>
      <w:r>
        <w:rPr>
          <w:szCs w:val="22"/>
        </w:rPr>
        <w:t xml:space="preserve">Stávající svislé dopravní značky budou ponechány a doplněny novými dopravními značkami </w:t>
      </w:r>
      <w:r w:rsidR="002C72C1">
        <w:rPr>
          <w:szCs w:val="22"/>
        </w:rPr>
        <w:t xml:space="preserve">pro označení parkování. Tyto značky budou </w:t>
      </w:r>
      <w:r>
        <w:rPr>
          <w:szCs w:val="22"/>
        </w:rPr>
        <w:t>základní velikosti, v </w:t>
      </w:r>
      <w:proofErr w:type="spellStart"/>
      <w:r>
        <w:rPr>
          <w:szCs w:val="22"/>
        </w:rPr>
        <w:t>retroreflexním</w:t>
      </w:r>
      <w:proofErr w:type="spellEnd"/>
      <w:r>
        <w:rPr>
          <w:szCs w:val="22"/>
        </w:rPr>
        <w:t xml:space="preserve"> provedení, upevněnými na pozinkované sloupky </w:t>
      </w:r>
      <w:proofErr w:type="spellStart"/>
      <w:r>
        <w:rPr>
          <w:szCs w:val="22"/>
        </w:rPr>
        <w:t>pr</w:t>
      </w:r>
      <w:proofErr w:type="spellEnd"/>
      <w:r>
        <w:rPr>
          <w:szCs w:val="22"/>
        </w:rPr>
        <w:t>. 70 mm</w:t>
      </w:r>
      <w:r w:rsidR="00EF5576">
        <w:rPr>
          <w:szCs w:val="22"/>
        </w:rPr>
        <w:t>.</w:t>
      </w:r>
      <w:r w:rsidR="002C72C1">
        <w:rPr>
          <w:szCs w:val="22"/>
        </w:rPr>
        <w:t xml:space="preserve"> </w:t>
      </w:r>
    </w:p>
    <w:p w14:paraId="123D1575" w14:textId="1EEE44AD" w:rsidR="00EF5576" w:rsidRDefault="00EF5576" w:rsidP="00B6124D">
      <w:pPr>
        <w:spacing w:before="120"/>
        <w:jc w:val="both"/>
        <w:rPr>
          <w:szCs w:val="22"/>
        </w:rPr>
      </w:pPr>
      <w:r w:rsidRPr="009617D7">
        <w:t>Vodorovné</w:t>
      </w:r>
      <w:r>
        <w:rPr>
          <w:szCs w:val="22"/>
        </w:rPr>
        <w:t xml:space="preserve"> dopravní značení (dělící čáry</w:t>
      </w:r>
      <w:r w:rsidR="002C72C1">
        <w:rPr>
          <w:szCs w:val="22"/>
        </w:rPr>
        <w:t xml:space="preserve"> parkovišť</w:t>
      </w:r>
      <w:r>
        <w:rPr>
          <w:szCs w:val="22"/>
        </w:rPr>
        <w:t xml:space="preserve">) bude provedeno nástřikem </w:t>
      </w:r>
      <w:r w:rsidR="002C72C1">
        <w:rPr>
          <w:szCs w:val="22"/>
        </w:rPr>
        <w:t>bílou barvou</w:t>
      </w:r>
      <w:r>
        <w:rPr>
          <w:szCs w:val="22"/>
        </w:rPr>
        <w:t xml:space="preserve"> dle TP 67 MD ČR.</w:t>
      </w:r>
    </w:p>
    <w:p w14:paraId="123D1576" w14:textId="77777777" w:rsidR="000B711B" w:rsidRDefault="000B711B" w:rsidP="00B6124D">
      <w:pPr>
        <w:spacing w:before="120"/>
        <w:jc w:val="both"/>
        <w:rPr>
          <w:szCs w:val="22"/>
        </w:rPr>
      </w:pPr>
      <w:r w:rsidRPr="009617D7">
        <w:t>Betonové</w:t>
      </w:r>
      <w:r>
        <w:rPr>
          <w:szCs w:val="22"/>
        </w:rPr>
        <w:t xml:space="preserve"> základy dopravních značek musí být provedeny z betonu tř. min. C 16/20 – XF2.</w:t>
      </w:r>
    </w:p>
    <w:p w14:paraId="123D1578" w14:textId="77777777" w:rsidR="00EF7DF4" w:rsidRDefault="00EF7DF4" w:rsidP="00B6124D">
      <w:pPr>
        <w:spacing w:before="120"/>
        <w:jc w:val="both"/>
        <w:rPr>
          <w:szCs w:val="22"/>
        </w:rPr>
      </w:pPr>
    </w:p>
    <w:p w14:paraId="123D1579" w14:textId="77777777" w:rsidR="00637135" w:rsidRPr="00A018E9" w:rsidRDefault="004E7DAE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8" w:name="_Toc14872415"/>
      <w:r>
        <w:rPr>
          <w:rStyle w:val="Siln"/>
          <w:rFonts w:ascii="Verdana" w:hAnsi="Verdana"/>
          <w:b/>
          <w:sz w:val="20"/>
          <w:szCs w:val="20"/>
        </w:rPr>
        <w:t>9</w:t>
      </w:r>
      <w:r w:rsidR="00637135" w:rsidRPr="00A018E9">
        <w:rPr>
          <w:rStyle w:val="Siln"/>
          <w:rFonts w:ascii="Verdana" w:hAnsi="Verdana"/>
          <w:b/>
          <w:sz w:val="20"/>
          <w:szCs w:val="20"/>
        </w:rPr>
        <w:t>. INŽENÝRSKÉ SÍTĚ</w:t>
      </w:r>
      <w:bookmarkEnd w:id="8"/>
    </w:p>
    <w:p w14:paraId="123D157A" w14:textId="77777777" w:rsidR="00637135" w:rsidRDefault="00DF6F37" w:rsidP="009230EF">
      <w:pPr>
        <w:spacing w:before="120" w:after="120"/>
        <w:jc w:val="both"/>
        <w:rPr>
          <w:szCs w:val="22"/>
        </w:rPr>
      </w:pPr>
      <w:r w:rsidRPr="00DF6F37">
        <w:rPr>
          <w:szCs w:val="22"/>
        </w:rPr>
        <w:t>Stavba se nachází v ochranných pásmech těchto inženýrských sítí:</w:t>
      </w:r>
    </w:p>
    <w:p w14:paraId="123D157D" w14:textId="1ED4F9C7" w:rsidR="00B42661" w:rsidRPr="00B42661" w:rsidRDefault="00B42661" w:rsidP="00B42661">
      <w:pPr>
        <w:jc w:val="both"/>
        <w:rPr>
          <w:szCs w:val="22"/>
        </w:rPr>
      </w:pPr>
      <w:r w:rsidRPr="00B42661">
        <w:rPr>
          <w:szCs w:val="22"/>
        </w:rPr>
        <w:t xml:space="preserve">podzemní vedení </w:t>
      </w:r>
      <w:r w:rsidR="00037E4B">
        <w:rPr>
          <w:szCs w:val="22"/>
        </w:rPr>
        <w:t xml:space="preserve">SEK </w:t>
      </w:r>
      <w:r w:rsidRPr="00B42661">
        <w:rPr>
          <w:szCs w:val="22"/>
        </w:rPr>
        <w:t xml:space="preserve">ve správě </w:t>
      </w:r>
      <w:proofErr w:type="spellStart"/>
      <w:r w:rsidRPr="00B42661">
        <w:rPr>
          <w:szCs w:val="22"/>
        </w:rPr>
        <w:t>Cetin</w:t>
      </w:r>
      <w:proofErr w:type="spellEnd"/>
      <w:r w:rsidRPr="00B42661">
        <w:rPr>
          <w:szCs w:val="22"/>
        </w:rPr>
        <w:t xml:space="preserve"> a.s.</w:t>
      </w:r>
    </w:p>
    <w:p w14:paraId="123D157E" w14:textId="77777777" w:rsidR="00B42661" w:rsidRPr="00B42661" w:rsidRDefault="00B42661" w:rsidP="00B42661">
      <w:pPr>
        <w:jc w:val="both"/>
        <w:rPr>
          <w:szCs w:val="22"/>
        </w:rPr>
      </w:pPr>
      <w:r w:rsidRPr="00B42661">
        <w:rPr>
          <w:szCs w:val="22"/>
        </w:rPr>
        <w:t>podzemní vedení NN ve správě ČEZ distribuce</w:t>
      </w:r>
    </w:p>
    <w:p w14:paraId="15B15694" w14:textId="77777777" w:rsidR="00037E4B" w:rsidRPr="00EB46B2" w:rsidRDefault="00037E4B" w:rsidP="00037E4B">
      <w:pPr>
        <w:jc w:val="both"/>
        <w:rPr>
          <w:szCs w:val="22"/>
        </w:rPr>
      </w:pPr>
      <w:r w:rsidRPr="00EB46B2">
        <w:rPr>
          <w:szCs w:val="22"/>
        </w:rPr>
        <w:t>vrchní vedení VN ve správě ČEZ distribuce</w:t>
      </w:r>
    </w:p>
    <w:p w14:paraId="123D157F" w14:textId="123A6BC2" w:rsidR="00B42661" w:rsidRDefault="00B42661" w:rsidP="00B42661">
      <w:pPr>
        <w:jc w:val="both"/>
        <w:rPr>
          <w:szCs w:val="22"/>
        </w:rPr>
      </w:pPr>
      <w:r w:rsidRPr="00B42661">
        <w:rPr>
          <w:szCs w:val="22"/>
        </w:rPr>
        <w:t xml:space="preserve">podzemní vedení VO ve správě </w:t>
      </w:r>
      <w:r w:rsidR="00037E4B">
        <w:rPr>
          <w:szCs w:val="22"/>
        </w:rPr>
        <w:t>TS Žacléř</w:t>
      </w:r>
      <w:r w:rsidRPr="00B42661">
        <w:rPr>
          <w:szCs w:val="22"/>
        </w:rPr>
        <w:t xml:space="preserve"> </w:t>
      </w:r>
    </w:p>
    <w:p w14:paraId="123D1583" w14:textId="0C6229A2" w:rsidR="00EB46B2" w:rsidRPr="00EB46B2" w:rsidRDefault="00EB46B2" w:rsidP="00B6124D">
      <w:pPr>
        <w:jc w:val="both"/>
        <w:rPr>
          <w:szCs w:val="22"/>
        </w:rPr>
      </w:pPr>
      <w:r w:rsidRPr="00EB46B2">
        <w:rPr>
          <w:szCs w:val="22"/>
        </w:rPr>
        <w:t xml:space="preserve">vodovod ve správě </w:t>
      </w:r>
      <w:r w:rsidR="00037E4B">
        <w:rPr>
          <w:szCs w:val="22"/>
        </w:rPr>
        <w:t>TS Žacléř</w:t>
      </w:r>
    </w:p>
    <w:p w14:paraId="123D1584" w14:textId="17991DB3" w:rsidR="00EB46B2" w:rsidRPr="00EB46B2" w:rsidRDefault="00EB46B2" w:rsidP="00B6124D">
      <w:pPr>
        <w:jc w:val="both"/>
        <w:rPr>
          <w:szCs w:val="22"/>
        </w:rPr>
      </w:pPr>
      <w:r w:rsidRPr="00EB46B2">
        <w:rPr>
          <w:szCs w:val="22"/>
        </w:rPr>
        <w:lastRenderedPageBreak/>
        <w:t xml:space="preserve">kanalizace ve správě </w:t>
      </w:r>
      <w:r w:rsidR="00037E4B">
        <w:rPr>
          <w:szCs w:val="22"/>
        </w:rPr>
        <w:t>TS Žacléř</w:t>
      </w:r>
    </w:p>
    <w:p w14:paraId="123D1586" w14:textId="00E77F38" w:rsidR="00EB46B2" w:rsidRDefault="00EB46B2" w:rsidP="00B6124D">
      <w:pPr>
        <w:jc w:val="both"/>
        <w:rPr>
          <w:szCs w:val="22"/>
        </w:rPr>
      </w:pPr>
      <w:r w:rsidRPr="00EB46B2">
        <w:rPr>
          <w:szCs w:val="22"/>
        </w:rPr>
        <w:t xml:space="preserve">plynovod ve správě </w:t>
      </w:r>
      <w:proofErr w:type="spellStart"/>
      <w:r w:rsidR="00037E4B">
        <w:rPr>
          <w:szCs w:val="22"/>
        </w:rPr>
        <w:t>GasNet</w:t>
      </w:r>
      <w:proofErr w:type="spellEnd"/>
    </w:p>
    <w:p w14:paraId="123D1591" w14:textId="5B3CD1D5" w:rsidR="00997C10" w:rsidRDefault="00037E4B" w:rsidP="00B6124D">
      <w:pPr>
        <w:spacing w:before="120"/>
        <w:jc w:val="both"/>
        <w:rPr>
          <w:szCs w:val="22"/>
        </w:rPr>
      </w:pPr>
      <w:r>
        <w:rPr>
          <w:szCs w:val="22"/>
        </w:rPr>
        <w:t>Přeložky a ochrana těchto sítí jsou předmětem ostatních stavebních objektů.</w:t>
      </w:r>
    </w:p>
    <w:p w14:paraId="123D1592" w14:textId="77777777" w:rsidR="00E13794" w:rsidRDefault="00E13794" w:rsidP="00B6124D">
      <w:pPr>
        <w:spacing w:before="120"/>
        <w:jc w:val="both"/>
        <w:rPr>
          <w:szCs w:val="22"/>
        </w:rPr>
      </w:pPr>
      <w:r w:rsidRPr="00E13794">
        <w:rPr>
          <w:szCs w:val="22"/>
        </w:rPr>
        <w:t>V prostoru je</w:t>
      </w:r>
      <w:r>
        <w:rPr>
          <w:szCs w:val="22"/>
        </w:rPr>
        <w:t>jich</w:t>
      </w:r>
      <w:r w:rsidRPr="00E13794">
        <w:rPr>
          <w:szCs w:val="22"/>
        </w:rPr>
        <w:t xml:space="preserve"> ochrann</w:t>
      </w:r>
      <w:r>
        <w:rPr>
          <w:szCs w:val="22"/>
        </w:rPr>
        <w:t>ých</w:t>
      </w:r>
      <w:r w:rsidRPr="00E13794">
        <w:rPr>
          <w:szCs w:val="22"/>
        </w:rPr>
        <w:t xml:space="preserve"> pás</w:t>
      </w:r>
      <w:r>
        <w:rPr>
          <w:szCs w:val="22"/>
        </w:rPr>
        <w:t>em</w:t>
      </w:r>
      <w:r w:rsidRPr="00E13794">
        <w:rPr>
          <w:szCs w:val="22"/>
        </w:rPr>
        <w:t xml:space="preserve"> budou veškeré stavební práce probíhat podle podmínek určených je</w:t>
      </w:r>
      <w:r>
        <w:rPr>
          <w:szCs w:val="22"/>
        </w:rPr>
        <w:t>jich</w:t>
      </w:r>
      <w:r w:rsidRPr="00E13794">
        <w:rPr>
          <w:szCs w:val="22"/>
        </w:rPr>
        <w:t xml:space="preserve"> správc</w:t>
      </w:r>
      <w:r>
        <w:rPr>
          <w:szCs w:val="22"/>
        </w:rPr>
        <w:t>i</w:t>
      </w:r>
      <w:r w:rsidRPr="00E13794">
        <w:rPr>
          <w:szCs w:val="22"/>
        </w:rPr>
        <w:t>.</w:t>
      </w:r>
    </w:p>
    <w:p w14:paraId="123D1593" w14:textId="77777777" w:rsidR="00A07F43" w:rsidRDefault="00A07F43" w:rsidP="00B6124D">
      <w:pPr>
        <w:spacing w:before="120"/>
        <w:jc w:val="both"/>
        <w:rPr>
          <w:szCs w:val="22"/>
        </w:rPr>
      </w:pPr>
      <w:r>
        <w:rPr>
          <w:szCs w:val="22"/>
        </w:rPr>
        <w:t>Před zahájením zemních prací je zhotovitel stavby povinen nechat si od správců sítí vytyčit průběh podzemních vedení přímo na místě stavby.</w:t>
      </w:r>
    </w:p>
    <w:p w14:paraId="123D1594" w14:textId="77777777" w:rsidR="002021AF" w:rsidRDefault="002021AF" w:rsidP="00B6124D">
      <w:pPr>
        <w:spacing w:before="120"/>
        <w:jc w:val="both"/>
        <w:rPr>
          <w:szCs w:val="22"/>
        </w:rPr>
      </w:pPr>
    </w:p>
    <w:p w14:paraId="123D1595" w14:textId="77777777" w:rsidR="00F81CAF" w:rsidRPr="00A018E9" w:rsidRDefault="004E7DAE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9" w:name="_Toc14872416"/>
      <w:r>
        <w:rPr>
          <w:rStyle w:val="Siln"/>
          <w:rFonts w:ascii="Verdana" w:hAnsi="Verdana"/>
          <w:b/>
          <w:sz w:val="20"/>
          <w:szCs w:val="20"/>
        </w:rPr>
        <w:t>10</w:t>
      </w:r>
      <w:r w:rsidR="00F81CAF" w:rsidRPr="00A018E9">
        <w:rPr>
          <w:rStyle w:val="Siln"/>
          <w:rFonts w:ascii="Verdana" w:hAnsi="Verdana"/>
          <w:b/>
          <w:sz w:val="20"/>
          <w:szCs w:val="20"/>
        </w:rPr>
        <w:t>. SADOVÉ ÚPRAVY</w:t>
      </w:r>
      <w:bookmarkEnd w:id="9"/>
    </w:p>
    <w:p w14:paraId="123D1596" w14:textId="77777777" w:rsidR="00F96237" w:rsidRDefault="00F96237" w:rsidP="00B6124D">
      <w:pPr>
        <w:spacing w:before="120"/>
        <w:jc w:val="both"/>
        <w:rPr>
          <w:szCs w:val="22"/>
        </w:rPr>
      </w:pPr>
      <w:r w:rsidRPr="00F96237">
        <w:rPr>
          <w:szCs w:val="22"/>
        </w:rPr>
        <w:t>Sadové úpravy nejsou předmětem projektu.</w:t>
      </w:r>
    </w:p>
    <w:p w14:paraId="123D159A" w14:textId="77777777" w:rsidR="002021AF" w:rsidRPr="00EB46B2" w:rsidRDefault="002021AF" w:rsidP="00B6124D">
      <w:pPr>
        <w:jc w:val="both"/>
        <w:rPr>
          <w:szCs w:val="22"/>
        </w:rPr>
      </w:pPr>
    </w:p>
    <w:p w14:paraId="123D159B" w14:textId="77777777" w:rsidR="006D3DBB" w:rsidRPr="00A018E9" w:rsidRDefault="001161E0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10" w:name="_Toc14872417"/>
      <w:r w:rsidRPr="00A018E9">
        <w:rPr>
          <w:rStyle w:val="Siln"/>
          <w:rFonts w:ascii="Verdana" w:hAnsi="Verdana"/>
          <w:b/>
          <w:sz w:val="20"/>
          <w:szCs w:val="20"/>
        </w:rPr>
        <w:t>1</w:t>
      </w:r>
      <w:r w:rsidR="004E7DAE">
        <w:rPr>
          <w:rStyle w:val="Siln"/>
          <w:rFonts w:ascii="Verdana" w:hAnsi="Verdana"/>
          <w:b/>
          <w:sz w:val="20"/>
          <w:szCs w:val="20"/>
        </w:rPr>
        <w:t>1</w:t>
      </w:r>
      <w:r w:rsidR="006D3DBB" w:rsidRPr="00A018E9">
        <w:rPr>
          <w:rStyle w:val="Siln"/>
          <w:rFonts w:ascii="Verdana" w:hAnsi="Verdana"/>
          <w:b/>
          <w:sz w:val="20"/>
          <w:szCs w:val="20"/>
        </w:rPr>
        <w:t>. ZEMNÍ PRÁCE</w:t>
      </w:r>
      <w:bookmarkEnd w:id="10"/>
    </w:p>
    <w:p w14:paraId="123D159C" w14:textId="77777777" w:rsidR="006D3DBB" w:rsidRDefault="006D3DBB" w:rsidP="009230EF">
      <w:pPr>
        <w:tabs>
          <w:tab w:val="left" w:pos="0"/>
          <w:tab w:val="left" w:pos="1134"/>
        </w:tabs>
        <w:spacing w:before="120"/>
        <w:jc w:val="both"/>
        <w:rPr>
          <w:szCs w:val="20"/>
        </w:rPr>
      </w:pPr>
      <w:r>
        <w:rPr>
          <w:szCs w:val="20"/>
        </w:rPr>
        <w:t xml:space="preserve">Před zahájením zemních prací bude z prostoru stavby sejmuta ornice v </w:t>
      </w:r>
      <w:proofErr w:type="spellStart"/>
      <w:r>
        <w:rPr>
          <w:szCs w:val="20"/>
        </w:rPr>
        <w:t>tl</w:t>
      </w:r>
      <w:proofErr w:type="spellEnd"/>
      <w:r>
        <w:rPr>
          <w:szCs w:val="20"/>
        </w:rPr>
        <w:t>. 20cm. Bude uložena na dočasnou skládku a po dokončení stavby použita na ohumusování zatravněných ploch.</w:t>
      </w:r>
    </w:p>
    <w:p w14:paraId="123D159D" w14:textId="33E82E49" w:rsidR="006D3DBB" w:rsidRDefault="00B91034" w:rsidP="00B6124D">
      <w:pPr>
        <w:tabs>
          <w:tab w:val="left" w:pos="0"/>
          <w:tab w:val="left" w:pos="1134"/>
        </w:tabs>
        <w:jc w:val="both"/>
        <w:rPr>
          <w:szCs w:val="20"/>
        </w:rPr>
      </w:pPr>
      <w:r>
        <w:rPr>
          <w:szCs w:val="20"/>
        </w:rPr>
        <w:t>Zemní práce sestávají z bouracích prací stávajících konstrukcí vozovek</w:t>
      </w:r>
      <w:r w:rsidR="00037E4B">
        <w:rPr>
          <w:szCs w:val="20"/>
        </w:rPr>
        <w:t>,</w:t>
      </w:r>
      <w:r>
        <w:rPr>
          <w:szCs w:val="20"/>
        </w:rPr>
        <w:t xml:space="preserve"> chodníků</w:t>
      </w:r>
      <w:r w:rsidR="006F0B4B">
        <w:rPr>
          <w:szCs w:val="20"/>
        </w:rPr>
        <w:t xml:space="preserve"> </w:t>
      </w:r>
      <w:r w:rsidR="00037E4B">
        <w:rPr>
          <w:szCs w:val="20"/>
        </w:rPr>
        <w:t xml:space="preserve">a drobných objektů </w:t>
      </w:r>
      <w:r w:rsidR="006F0B4B">
        <w:rPr>
          <w:szCs w:val="20"/>
        </w:rPr>
        <w:t xml:space="preserve">a z hloubení </w:t>
      </w:r>
      <w:r w:rsidR="00786D63" w:rsidRPr="00786D63">
        <w:rPr>
          <w:szCs w:val="20"/>
        </w:rPr>
        <w:t>odkopávek</w:t>
      </w:r>
      <w:r w:rsidR="006F0B4B">
        <w:rPr>
          <w:szCs w:val="20"/>
        </w:rPr>
        <w:t xml:space="preserve"> pro konstrukce komunikací</w:t>
      </w:r>
      <w:r>
        <w:rPr>
          <w:szCs w:val="20"/>
        </w:rPr>
        <w:t xml:space="preserve">. </w:t>
      </w:r>
    </w:p>
    <w:p w14:paraId="123D15A0" w14:textId="5F4166F5" w:rsidR="009A4ED2" w:rsidRDefault="009A4ED2" w:rsidP="00B6124D">
      <w:pPr>
        <w:tabs>
          <w:tab w:val="left" w:pos="0"/>
          <w:tab w:val="left" w:pos="1134"/>
        </w:tabs>
        <w:jc w:val="both"/>
        <w:rPr>
          <w:szCs w:val="20"/>
        </w:rPr>
      </w:pPr>
      <w:r>
        <w:rPr>
          <w:szCs w:val="20"/>
        </w:rPr>
        <w:t>Vybourané asfaltové kryty, vybouran</w:t>
      </w:r>
      <w:r w:rsidR="002D2EF1">
        <w:rPr>
          <w:szCs w:val="20"/>
        </w:rPr>
        <w:t>á</w:t>
      </w:r>
      <w:r>
        <w:rPr>
          <w:szCs w:val="20"/>
        </w:rPr>
        <w:t xml:space="preserve"> betonová suť a odtěžená zemina </w:t>
      </w:r>
      <w:r w:rsidR="00C9116E">
        <w:rPr>
          <w:szCs w:val="20"/>
        </w:rPr>
        <w:t>z</w:t>
      </w:r>
      <w:r w:rsidR="00037E4B">
        <w:rPr>
          <w:szCs w:val="20"/>
        </w:rPr>
        <w:t> odkopávek</w:t>
      </w:r>
      <w:r w:rsidR="00C9116E">
        <w:rPr>
          <w:szCs w:val="20"/>
        </w:rPr>
        <w:t xml:space="preserve"> pro konstrukce komunikací </w:t>
      </w:r>
      <w:r>
        <w:rPr>
          <w:szCs w:val="20"/>
        </w:rPr>
        <w:t>budou uloženy na řízenou skládku</w:t>
      </w:r>
      <w:r w:rsidR="00C9116E">
        <w:rPr>
          <w:szCs w:val="20"/>
        </w:rPr>
        <w:t>.</w:t>
      </w:r>
      <w:r w:rsidR="00285E6B">
        <w:rPr>
          <w:szCs w:val="20"/>
        </w:rPr>
        <w:t xml:space="preserve"> Vyfrézovaná asfaltová směs bude použita jako vedlejší produkt dle v. 130/2019 Sb. do výměny podloží, stejně jako vytěžená vhodná štěrkovitá zemina z odkopávek.</w:t>
      </w:r>
      <w:bookmarkStart w:id="11" w:name="_GoBack"/>
      <w:bookmarkEnd w:id="11"/>
    </w:p>
    <w:p w14:paraId="123D15A1" w14:textId="77777777" w:rsidR="00E13794" w:rsidRDefault="00E13794" w:rsidP="00B6124D">
      <w:pPr>
        <w:tabs>
          <w:tab w:val="left" w:pos="0"/>
          <w:tab w:val="left" w:pos="1134"/>
        </w:tabs>
        <w:jc w:val="both"/>
        <w:rPr>
          <w:szCs w:val="20"/>
        </w:rPr>
      </w:pPr>
      <w:r w:rsidRPr="00E13794">
        <w:rPr>
          <w:szCs w:val="20"/>
        </w:rPr>
        <w:t xml:space="preserve">Vytěženou zeminu je možno použít na nehutněné </w:t>
      </w:r>
      <w:proofErr w:type="spellStart"/>
      <w:r w:rsidRPr="00E13794">
        <w:rPr>
          <w:szCs w:val="20"/>
        </w:rPr>
        <w:t>dosypávky</w:t>
      </w:r>
      <w:proofErr w:type="spellEnd"/>
      <w:r w:rsidRPr="00E13794">
        <w:rPr>
          <w:szCs w:val="20"/>
        </w:rPr>
        <w:t xml:space="preserve"> a urovnání terénu. Nelze ji použít na hutněné násypy komunikací!</w:t>
      </w:r>
    </w:p>
    <w:p w14:paraId="5378BFD8" w14:textId="77777777" w:rsidR="00037E4B" w:rsidRDefault="00037E4B" w:rsidP="00B6124D">
      <w:pPr>
        <w:tabs>
          <w:tab w:val="left" w:pos="0"/>
          <w:tab w:val="left" w:pos="1134"/>
        </w:tabs>
        <w:jc w:val="both"/>
        <w:rPr>
          <w:szCs w:val="20"/>
        </w:rPr>
      </w:pPr>
    </w:p>
    <w:p w14:paraId="123D15AE" w14:textId="77777777" w:rsidR="001B6B9D" w:rsidRDefault="001B6B9D" w:rsidP="00B6124D">
      <w:pPr>
        <w:tabs>
          <w:tab w:val="left" w:pos="0"/>
          <w:tab w:val="left" w:pos="1134"/>
        </w:tabs>
        <w:jc w:val="both"/>
        <w:rPr>
          <w:szCs w:val="20"/>
        </w:rPr>
      </w:pPr>
    </w:p>
    <w:p w14:paraId="123D15AF" w14:textId="0F1B1632" w:rsidR="001161E0" w:rsidRDefault="001161E0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12" w:name="_Toc14872418"/>
      <w:r w:rsidRPr="00A018E9">
        <w:rPr>
          <w:rStyle w:val="Siln"/>
          <w:rFonts w:ascii="Verdana" w:hAnsi="Verdana"/>
          <w:b/>
          <w:sz w:val="20"/>
          <w:szCs w:val="20"/>
        </w:rPr>
        <w:t>1</w:t>
      </w:r>
      <w:r w:rsidR="00037E4B">
        <w:rPr>
          <w:rStyle w:val="Siln"/>
          <w:rFonts w:ascii="Verdana" w:hAnsi="Verdana"/>
          <w:b/>
          <w:sz w:val="20"/>
          <w:szCs w:val="20"/>
        </w:rPr>
        <w:t>2</w:t>
      </w:r>
      <w:r w:rsidRPr="00A018E9">
        <w:rPr>
          <w:rStyle w:val="Siln"/>
          <w:rFonts w:ascii="Verdana" w:hAnsi="Verdana"/>
          <w:b/>
          <w:sz w:val="20"/>
          <w:szCs w:val="20"/>
        </w:rPr>
        <w:t>. UŽÍVÁNÍ KOMUNIKACÍ OSOBAMI S OMEZENOU SCHOPNOSTÍ</w:t>
      </w:r>
      <w:r w:rsidR="000E46E9" w:rsidRPr="00A018E9">
        <w:rPr>
          <w:rStyle w:val="Siln"/>
          <w:rFonts w:ascii="Verdana" w:hAnsi="Verdana"/>
          <w:b/>
          <w:sz w:val="20"/>
          <w:szCs w:val="20"/>
        </w:rPr>
        <w:t xml:space="preserve"> POHYBU A ORIENTACE</w:t>
      </w:r>
      <w:bookmarkEnd w:id="12"/>
    </w:p>
    <w:p w14:paraId="70D8B82A" w14:textId="77777777" w:rsidR="00037E4B" w:rsidRPr="002114D1" w:rsidRDefault="00037E4B" w:rsidP="00677C43">
      <w:pPr>
        <w:spacing w:before="120"/>
        <w:jc w:val="both"/>
      </w:pPr>
      <w:r w:rsidRPr="002114D1">
        <w:t>Užívání komunikací osobami se zrakovým a pohybovým omezením je zabezpečeno řešením komunikací v souladu s vyhláškou 398/2009 Sb., tj. bezbariérovým řešením tras pohybu chodců a opatřeními pro bezpečnou orientaci nevidomých osob v těchto trasách.</w:t>
      </w:r>
    </w:p>
    <w:p w14:paraId="123D15B6" w14:textId="08B401CD" w:rsidR="009617D7" w:rsidRPr="00255656" w:rsidRDefault="00037E4B" w:rsidP="00037E4B">
      <w:pPr>
        <w:tabs>
          <w:tab w:val="left" w:pos="0"/>
          <w:tab w:val="left" w:pos="1134"/>
        </w:tabs>
        <w:spacing w:before="120"/>
        <w:jc w:val="both"/>
        <w:rPr>
          <w:szCs w:val="20"/>
        </w:rPr>
      </w:pPr>
      <w:r w:rsidRPr="002114D1">
        <w:t xml:space="preserve">V místech </w:t>
      </w:r>
      <w:r>
        <w:t>pro přecházení a v místech napojení na vozovku</w:t>
      </w:r>
      <w:r w:rsidRPr="002114D1">
        <w:t xml:space="preserve"> je obrubník chodníku snížen na 2 cm </w:t>
      </w:r>
      <w:proofErr w:type="spellStart"/>
      <w:r w:rsidRPr="002114D1">
        <w:t>podsázku</w:t>
      </w:r>
      <w:proofErr w:type="spellEnd"/>
      <w:r w:rsidRPr="002114D1">
        <w:t xml:space="preserve"> a je tak vytvořena rampa na chodník se sklonem 12%. Místo je opatřeno varovným pásem šířky 40 cm a signálním pásem šířky 80 cm ze speciální hmatově a barevně kontrastní dlažby určené pouze pro tyto účely, odsazeným o 30cm od varovného pásu. Signální pás je ukončen u přirozené vodící linie (záhonový obrubník na straně chodníku odvrácené od vozovky s převýšením 6cm nad povrchem chodníku</w:t>
      </w:r>
      <w:r>
        <w:t>, objekt</w:t>
      </w:r>
      <w:r w:rsidRPr="002114D1">
        <w:t>) a jeho směr se shoduje se směrem trasy pohybu chodců.</w:t>
      </w:r>
    </w:p>
    <w:p w14:paraId="123D15B7" w14:textId="77777777" w:rsidR="009617D7" w:rsidRDefault="009617D7" w:rsidP="00B6124D">
      <w:pPr>
        <w:tabs>
          <w:tab w:val="left" w:pos="0"/>
          <w:tab w:val="left" w:pos="1134"/>
        </w:tabs>
        <w:spacing w:before="120"/>
        <w:jc w:val="both"/>
        <w:rPr>
          <w:szCs w:val="20"/>
        </w:rPr>
      </w:pPr>
    </w:p>
    <w:p w14:paraId="123D15B8" w14:textId="77777777" w:rsidR="009617D7" w:rsidRDefault="009617D7" w:rsidP="00B6124D">
      <w:pPr>
        <w:tabs>
          <w:tab w:val="left" w:pos="0"/>
          <w:tab w:val="left" w:pos="1134"/>
        </w:tabs>
        <w:spacing w:before="120"/>
        <w:jc w:val="both"/>
        <w:rPr>
          <w:szCs w:val="20"/>
        </w:rPr>
      </w:pPr>
    </w:p>
    <w:p w14:paraId="123D15B9" w14:textId="77777777" w:rsidR="009617D7" w:rsidRDefault="009617D7" w:rsidP="00B6124D">
      <w:pPr>
        <w:tabs>
          <w:tab w:val="left" w:pos="0"/>
          <w:tab w:val="left" w:pos="1134"/>
        </w:tabs>
        <w:spacing w:before="120"/>
        <w:jc w:val="both"/>
        <w:rPr>
          <w:szCs w:val="20"/>
        </w:rPr>
      </w:pPr>
    </w:p>
    <w:p w14:paraId="123D15BA" w14:textId="77777777" w:rsidR="009617D7" w:rsidRDefault="009617D7" w:rsidP="00B6124D">
      <w:pPr>
        <w:tabs>
          <w:tab w:val="left" w:pos="0"/>
          <w:tab w:val="left" w:pos="1134"/>
        </w:tabs>
        <w:spacing w:before="120"/>
        <w:jc w:val="both"/>
        <w:rPr>
          <w:szCs w:val="20"/>
        </w:rPr>
      </w:pPr>
    </w:p>
    <w:p w14:paraId="123D15BB" w14:textId="77777777" w:rsidR="006D3DBB" w:rsidRDefault="006D3DBB" w:rsidP="00B6124D">
      <w:pPr>
        <w:tabs>
          <w:tab w:val="left" w:pos="0"/>
          <w:tab w:val="left" w:pos="1134"/>
        </w:tabs>
        <w:jc w:val="both"/>
        <w:rPr>
          <w:szCs w:val="20"/>
        </w:rPr>
      </w:pPr>
    </w:p>
    <w:p w14:paraId="123D15BC" w14:textId="3C68547C" w:rsidR="006D3DBB" w:rsidRDefault="006D3DBB" w:rsidP="00B6124D">
      <w:pPr>
        <w:tabs>
          <w:tab w:val="left" w:pos="-360"/>
          <w:tab w:val="left" w:pos="0"/>
        </w:tabs>
        <w:spacing w:after="120"/>
        <w:jc w:val="both"/>
        <w:rPr>
          <w:szCs w:val="20"/>
        </w:rPr>
      </w:pPr>
      <w:r>
        <w:rPr>
          <w:szCs w:val="20"/>
        </w:rPr>
        <w:t xml:space="preserve">V Trutnově dne </w:t>
      </w:r>
      <w:r w:rsidR="00037E4B">
        <w:rPr>
          <w:szCs w:val="20"/>
        </w:rPr>
        <w:t>1.</w:t>
      </w:r>
      <w:r w:rsidR="00677C43">
        <w:rPr>
          <w:szCs w:val="20"/>
        </w:rPr>
        <w:t>9</w:t>
      </w:r>
      <w:r w:rsidR="00037E4B">
        <w:rPr>
          <w:szCs w:val="20"/>
        </w:rPr>
        <w:t>.2019</w:t>
      </w:r>
      <w:r w:rsidR="00C9116E">
        <w:rPr>
          <w:szCs w:val="20"/>
        </w:rPr>
        <w:tab/>
      </w:r>
      <w:r w:rsidR="00C9116E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Ing. David Pauzar</w:t>
      </w:r>
    </w:p>
    <w:sectPr w:rsidR="006D3DBB" w:rsidSect="004E7DAE">
      <w:headerReference w:type="default" r:id="rId7"/>
      <w:footerReference w:type="default" r:id="rId8"/>
      <w:footnotePr>
        <w:pos w:val="beneathText"/>
      </w:footnotePr>
      <w:type w:val="continuous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1F375" w14:textId="77777777" w:rsidR="00DF2E78" w:rsidRDefault="00DF2E78" w:rsidP="001C0ACF">
      <w:r>
        <w:separator/>
      </w:r>
    </w:p>
  </w:endnote>
  <w:endnote w:type="continuationSeparator" w:id="0">
    <w:p w14:paraId="2596F5B3" w14:textId="77777777" w:rsidR="00DF2E78" w:rsidRDefault="00DF2E78" w:rsidP="001C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">
    <w:altName w:val="Century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D15C5" w14:textId="77777777" w:rsidR="00F2620A" w:rsidRDefault="00F2620A">
    <w:pPr>
      <w:pStyle w:val="Zpat"/>
      <w:jc w:val="center"/>
    </w:pPr>
  </w:p>
  <w:p w14:paraId="123D15C6" w14:textId="77777777" w:rsidR="00F2620A" w:rsidRDefault="00F2620A">
    <w:pPr>
      <w:pStyle w:val="Zpat"/>
      <w:jc w:val="center"/>
    </w:pPr>
  </w:p>
  <w:p w14:paraId="123D15C7" w14:textId="77777777" w:rsidR="00F2620A" w:rsidRDefault="00F2620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14:paraId="123D15C8" w14:textId="77777777" w:rsidR="00F2620A" w:rsidRDefault="00F262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3F73D" w14:textId="77777777" w:rsidR="00DF2E78" w:rsidRDefault="00DF2E78" w:rsidP="001C0ACF">
      <w:r>
        <w:separator/>
      </w:r>
    </w:p>
  </w:footnote>
  <w:footnote w:type="continuationSeparator" w:id="0">
    <w:p w14:paraId="3CE0E285" w14:textId="77777777" w:rsidR="00DF2E78" w:rsidRDefault="00DF2E78" w:rsidP="001C0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D15C2" w14:textId="77777777" w:rsidR="00F2620A" w:rsidRPr="003E7F91" w:rsidRDefault="00F2620A" w:rsidP="00124017">
    <w:pPr>
      <w:pStyle w:val="Zhlav"/>
      <w:jc w:val="right"/>
      <w:rPr>
        <w:color w:val="404040"/>
      </w:rPr>
    </w:pPr>
  </w:p>
  <w:p w14:paraId="123D15C3" w14:textId="77777777" w:rsidR="00F2620A" w:rsidRPr="003E7F91" w:rsidRDefault="00F2620A" w:rsidP="00124017">
    <w:pPr>
      <w:pStyle w:val="Zhlav"/>
      <w:jc w:val="right"/>
      <w:rPr>
        <w:color w:val="404040"/>
      </w:rPr>
    </w:pPr>
  </w:p>
  <w:p w14:paraId="123D15C4" w14:textId="77777777" w:rsidR="00F2620A" w:rsidRPr="003E7F91" w:rsidRDefault="00F2620A" w:rsidP="00124017">
    <w:pPr>
      <w:pStyle w:val="Zhlav"/>
      <w:jc w:val="right"/>
      <w:rPr>
        <w:color w:val="4040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27B4"/>
    <w:multiLevelType w:val="hybridMultilevel"/>
    <w:tmpl w:val="4456EE32"/>
    <w:lvl w:ilvl="0" w:tplc="64708074">
      <w:numFmt w:val="bullet"/>
      <w:lvlText w:val="–"/>
      <w:lvlJc w:val="left"/>
      <w:pPr>
        <w:ind w:left="435" w:hanging="360"/>
      </w:pPr>
      <w:rPr>
        <w:rFonts w:ascii="Verdana" w:eastAsia="Lucida Sans Unicode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21F72F3"/>
    <w:multiLevelType w:val="hybridMultilevel"/>
    <w:tmpl w:val="5B900B2E"/>
    <w:lvl w:ilvl="0" w:tplc="7B42F390">
      <w:numFmt w:val="bullet"/>
      <w:lvlText w:val="–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F5A2A"/>
    <w:multiLevelType w:val="hybridMultilevel"/>
    <w:tmpl w:val="B11ABE60"/>
    <w:lvl w:ilvl="0" w:tplc="0405000F">
      <w:start w:val="1"/>
      <w:numFmt w:val="decimal"/>
      <w:lvlText w:val="%1."/>
      <w:lvlJc w:val="left"/>
      <w:pPr>
        <w:ind w:left="795" w:hanging="360"/>
      </w:p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465B41E2"/>
    <w:multiLevelType w:val="hybridMultilevel"/>
    <w:tmpl w:val="A5B0E250"/>
    <w:lvl w:ilvl="0" w:tplc="7B42F390">
      <w:numFmt w:val="bullet"/>
      <w:lvlText w:val="–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DBB"/>
    <w:rsid w:val="000114AE"/>
    <w:rsid w:val="00012C1B"/>
    <w:rsid w:val="00034655"/>
    <w:rsid w:val="00037E4B"/>
    <w:rsid w:val="00043C23"/>
    <w:rsid w:val="00046560"/>
    <w:rsid w:val="00071F5B"/>
    <w:rsid w:val="00072786"/>
    <w:rsid w:val="0007741D"/>
    <w:rsid w:val="000A5732"/>
    <w:rsid w:val="000B711B"/>
    <w:rsid w:val="000C1AA7"/>
    <w:rsid w:val="000C34E0"/>
    <w:rsid w:val="000D0724"/>
    <w:rsid w:val="000E2283"/>
    <w:rsid w:val="000E46E9"/>
    <w:rsid w:val="000F039D"/>
    <w:rsid w:val="000F6A18"/>
    <w:rsid w:val="00100DF7"/>
    <w:rsid w:val="001013B7"/>
    <w:rsid w:val="00107678"/>
    <w:rsid w:val="001161E0"/>
    <w:rsid w:val="00124017"/>
    <w:rsid w:val="00137718"/>
    <w:rsid w:val="00141CE5"/>
    <w:rsid w:val="00144898"/>
    <w:rsid w:val="00144DEC"/>
    <w:rsid w:val="00144E63"/>
    <w:rsid w:val="00145510"/>
    <w:rsid w:val="001523EF"/>
    <w:rsid w:val="00152578"/>
    <w:rsid w:val="0016201A"/>
    <w:rsid w:val="00164445"/>
    <w:rsid w:val="0016725C"/>
    <w:rsid w:val="00172211"/>
    <w:rsid w:val="00173F1A"/>
    <w:rsid w:val="00183339"/>
    <w:rsid w:val="001A1BF2"/>
    <w:rsid w:val="001A5FBD"/>
    <w:rsid w:val="001B6B9D"/>
    <w:rsid w:val="001C0ACF"/>
    <w:rsid w:val="001C5CF9"/>
    <w:rsid w:val="001D36E0"/>
    <w:rsid w:val="002021AF"/>
    <w:rsid w:val="002051BB"/>
    <w:rsid w:val="00213773"/>
    <w:rsid w:val="00213AB6"/>
    <w:rsid w:val="00230158"/>
    <w:rsid w:val="002462FC"/>
    <w:rsid w:val="00250DCC"/>
    <w:rsid w:val="002537CD"/>
    <w:rsid w:val="002540DB"/>
    <w:rsid w:val="00255656"/>
    <w:rsid w:val="00255D6E"/>
    <w:rsid w:val="00256C4B"/>
    <w:rsid w:val="00275F53"/>
    <w:rsid w:val="002809FA"/>
    <w:rsid w:val="00285E6B"/>
    <w:rsid w:val="00287CD3"/>
    <w:rsid w:val="002A289E"/>
    <w:rsid w:val="002A44FA"/>
    <w:rsid w:val="002C49B7"/>
    <w:rsid w:val="002C72C1"/>
    <w:rsid w:val="002D2EF1"/>
    <w:rsid w:val="002D3CB1"/>
    <w:rsid w:val="002D78E1"/>
    <w:rsid w:val="0031076C"/>
    <w:rsid w:val="0031529A"/>
    <w:rsid w:val="00332A6B"/>
    <w:rsid w:val="00333A41"/>
    <w:rsid w:val="00341AA6"/>
    <w:rsid w:val="00370616"/>
    <w:rsid w:val="00373816"/>
    <w:rsid w:val="003907FA"/>
    <w:rsid w:val="00396700"/>
    <w:rsid w:val="003A195E"/>
    <w:rsid w:val="003A7197"/>
    <w:rsid w:val="003A74B3"/>
    <w:rsid w:val="003B0556"/>
    <w:rsid w:val="003B2FD0"/>
    <w:rsid w:val="003C5D9D"/>
    <w:rsid w:val="003D5D05"/>
    <w:rsid w:val="003D6713"/>
    <w:rsid w:val="003E7F91"/>
    <w:rsid w:val="00402706"/>
    <w:rsid w:val="0041244E"/>
    <w:rsid w:val="00422C26"/>
    <w:rsid w:val="004250D8"/>
    <w:rsid w:val="00425272"/>
    <w:rsid w:val="00440DA6"/>
    <w:rsid w:val="00447FC6"/>
    <w:rsid w:val="0045529F"/>
    <w:rsid w:val="004726D7"/>
    <w:rsid w:val="00475AD7"/>
    <w:rsid w:val="00490EA6"/>
    <w:rsid w:val="00496511"/>
    <w:rsid w:val="004A5F4E"/>
    <w:rsid w:val="004B4463"/>
    <w:rsid w:val="004B58A0"/>
    <w:rsid w:val="004C69FD"/>
    <w:rsid w:val="004E2FC0"/>
    <w:rsid w:val="004E6CEF"/>
    <w:rsid w:val="004E7DAE"/>
    <w:rsid w:val="004F01DA"/>
    <w:rsid w:val="005003D4"/>
    <w:rsid w:val="00506D39"/>
    <w:rsid w:val="00514AAD"/>
    <w:rsid w:val="00523824"/>
    <w:rsid w:val="00545407"/>
    <w:rsid w:val="0054657C"/>
    <w:rsid w:val="005569CF"/>
    <w:rsid w:val="00556FBA"/>
    <w:rsid w:val="005650B9"/>
    <w:rsid w:val="0056591E"/>
    <w:rsid w:val="00565CF8"/>
    <w:rsid w:val="00567760"/>
    <w:rsid w:val="00571CAA"/>
    <w:rsid w:val="005934C5"/>
    <w:rsid w:val="005A07FF"/>
    <w:rsid w:val="005A308A"/>
    <w:rsid w:val="005A6A50"/>
    <w:rsid w:val="005C3278"/>
    <w:rsid w:val="005E3E89"/>
    <w:rsid w:val="005F46F8"/>
    <w:rsid w:val="006043CD"/>
    <w:rsid w:val="006127CA"/>
    <w:rsid w:val="00613574"/>
    <w:rsid w:val="00615229"/>
    <w:rsid w:val="0062196E"/>
    <w:rsid w:val="00635018"/>
    <w:rsid w:val="00637135"/>
    <w:rsid w:val="00642126"/>
    <w:rsid w:val="00643099"/>
    <w:rsid w:val="00662171"/>
    <w:rsid w:val="00663EDD"/>
    <w:rsid w:val="00664250"/>
    <w:rsid w:val="0066441B"/>
    <w:rsid w:val="00670C4F"/>
    <w:rsid w:val="00672C65"/>
    <w:rsid w:val="0067681B"/>
    <w:rsid w:val="00677C43"/>
    <w:rsid w:val="00680429"/>
    <w:rsid w:val="0069225B"/>
    <w:rsid w:val="0069560C"/>
    <w:rsid w:val="00697B25"/>
    <w:rsid w:val="006B0701"/>
    <w:rsid w:val="006B5A49"/>
    <w:rsid w:val="006C31E1"/>
    <w:rsid w:val="006C5AD9"/>
    <w:rsid w:val="006C7FA5"/>
    <w:rsid w:val="006D3DBB"/>
    <w:rsid w:val="006D7CDC"/>
    <w:rsid w:val="006E62B3"/>
    <w:rsid w:val="006E7E65"/>
    <w:rsid w:val="006F0A09"/>
    <w:rsid w:val="006F0B4B"/>
    <w:rsid w:val="0070236D"/>
    <w:rsid w:val="00721821"/>
    <w:rsid w:val="0072260D"/>
    <w:rsid w:val="00734864"/>
    <w:rsid w:val="00735B5F"/>
    <w:rsid w:val="007470A6"/>
    <w:rsid w:val="007646F2"/>
    <w:rsid w:val="00786D63"/>
    <w:rsid w:val="00795FFA"/>
    <w:rsid w:val="007A2032"/>
    <w:rsid w:val="007E68BC"/>
    <w:rsid w:val="007E701A"/>
    <w:rsid w:val="007F0F62"/>
    <w:rsid w:val="007F7CDE"/>
    <w:rsid w:val="00800688"/>
    <w:rsid w:val="00817835"/>
    <w:rsid w:val="00817FD9"/>
    <w:rsid w:val="00820A21"/>
    <w:rsid w:val="0083444A"/>
    <w:rsid w:val="0084478C"/>
    <w:rsid w:val="00865A7B"/>
    <w:rsid w:val="008670BE"/>
    <w:rsid w:val="00887D1B"/>
    <w:rsid w:val="00891AED"/>
    <w:rsid w:val="008C5813"/>
    <w:rsid w:val="008D1EAD"/>
    <w:rsid w:val="008D2015"/>
    <w:rsid w:val="008D7B2B"/>
    <w:rsid w:val="008E2BFF"/>
    <w:rsid w:val="008E49CD"/>
    <w:rsid w:val="008F20B6"/>
    <w:rsid w:val="00904C12"/>
    <w:rsid w:val="009125F8"/>
    <w:rsid w:val="009230EF"/>
    <w:rsid w:val="00936A48"/>
    <w:rsid w:val="00956E0F"/>
    <w:rsid w:val="009617D7"/>
    <w:rsid w:val="00962185"/>
    <w:rsid w:val="00964AEA"/>
    <w:rsid w:val="00981988"/>
    <w:rsid w:val="00982A2B"/>
    <w:rsid w:val="009867C2"/>
    <w:rsid w:val="00992729"/>
    <w:rsid w:val="00993CF7"/>
    <w:rsid w:val="00997C10"/>
    <w:rsid w:val="009A4ED2"/>
    <w:rsid w:val="009B1539"/>
    <w:rsid w:val="009B751D"/>
    <w:rsid w:val="009C129B"/>
    <w:rsid w:val="009C478A"/>
    <w:rsid w:val="009C7CCB"/>
    <w:rsid w:val="009D42BF"/>
    <w:rsid w:val="009E0189"/>
    <w:rsid w:val="009E0A39"/>
    <w:rsid w:val="009E3C91"/>
    <w:rsid w:val="009E7A68"/>
    <w:rsid w:val="009F7B60"/>
    <w:rsid w:val="00A018E9"/>
    <w:rsid w:val="00A052CE"/>
    <w:rsid w:val="00A07F43"/>
    <w:rsid w:val="00A14D34"/>
    <w:rsid w:val="00A318D9"/>
    <w:rsid w:val="00A44177"/>
    <w:rsid w:val="00A47637"/>
    <w:rsid w:val="00A50490"/>
    <w:rsid w:val="00A506A6"/>
    <w:rsid w:val="00A671E7"/>
    <w:rsid w:val="00A74C7C"/>
    <w:rsid w:val="00A752B0"/>
    <w:rsid w:val="00A85C1A"/>
    <w:rsid w:val="00A906CD"/>
    <w:rsid w:val="00A91856"/>
    <w:rsid w:val="00AA0A49"/>
    <w:rsid w:val="00AA7441"/>
    <w:rsid w:val="00AA7A4F"/>
    <w:rsid w:val="00AB716C"/>
    <w:rsid w:val="00AC2B8D"/>
    <w:rsid w:val="00AC508B"/>
    <w:rsid w:val="00AC5B4B"/>
    <w:rsid w:val="00AD02C2"/>
    <w:rsid w:val="00AD06AA"/>
    <w:rsid w:val="00AD08FB"/>
    <w:rsid w:val="00AD5029"/>
    <w:rsid w:val="00AE03AD"/>
    <w:rsid w:val="00AE4095"/>
    <w:rsid w:val="00B02C9F"/>
    <w:rsid w:val="00B258F7"/>
    <w:rsid w:val="00B3358A"/>
    <w:rsid w:val="00B41307"/>
    <w:rsid w:val="00B4200D"/>
    <w:rsid w:val="00B42661"/>
    <w:rsid w:val="00B53747"/>
    <w:rsid w:val="00B5624F"/>
    <w:rsid w:val="00B6124D"/>
    <w:rsid w:val="00B625FE"/>
    <w:rsid w:val="00B70386"/>
    <w:rsid w:val="00B72A59"/>
    <w:rsid w:val="00B81C44"/>
    <w:rsid w:val="00B91034"/>
    <w:rsid w:val="00B93694"/>
    <w:rsid w:val="00BA3D3D"/>
    <w:rsid w:val="00BB3BAA"/>
    <w:rsid w:val="00BB4619"/>
    <w:rsid w:val="00BC092B"/>
    <w:rsid w:val="00BC7E30"/>
    <w:rsid w:val="00BD0733"/>
    <w:rsid w:val="00BF35EF"/>
    <w:rsid w:val="00BF62E1"/>
    <w:rsid w:val="00BF7210"/>
    <w:rsid w:val="00C00FBE"/>
    <w:rsid w:val="00C10515"/>
    <w:rsid w:val="00C15760"/>
    <w:rsid w:val="00C40958"/>
    <w:rsid w:val="00C44EBA"/>
    <w:rsid w:val="00C47750"/>
    <w:rsid w:val="00C50462"/>
    <w:rsid w:val="00C513A6"/>
    <w:rsid w:val="00C637B6"/>
    <w:rsid w:val="00C70496"/>
    <w:rsid w:val="00C8644F"/>
    <w:rsid w:val="00C9116E"/>
    <w:rsid w:val="00C92452"/>
    <w:rsid w:val="00C93F6F"/>
    <w:rsid w:val="00CA28DC"/>
    <w:rsid w:val="00CB55E6"/>
    <w:rsid w:val="00CC3F68"/>
    <w:rsid w:val="00CC452A"/>
    <w:rsid w:val="00CF075F"/>
    <w:rsid w:val="00CF4EA4"/>
    <w:rsid w:val="00D0136F"/>
    <w:rsid w:val="00D0207A"/>
    <w:rsid w:val="00D15CCF"/>
    <w:rsid w:val="00D22E2B"/>
    <w:rsid w:val="00D42968"/>
    <w:rsid w:val="00D51432"/>
    <w:rsid w:val="00D56B7F"/>
    <w:rsid w:val="00D70DAB"/>
    <w:rsid w:val="00D75278"/>
    <w:rsid w:val="00D834CF"/>
    <w:rsid w:val="00D8752F"/>
    <w:rsid w:val="00D87A93"/>
    <w:rsid w:val="00DA2FEB"/>
    <w:rsid w:val="00DB0EEB"/>
    <w:rsid w:val="00DB6495"/>
    <w:rsid w:val="00DB790A"/>
    <w:rsid w:val="00DC2CB1"/>
    <w:rsid w:val="00DD0333"/>
    <w:rsid w:val="00DD3B73"/>
    <w:rsid w:val="00DD50A1"/>
    <w:rsid w:val="00DF2E78"/>
    <w:rsid w:val="00DF479A"/>
    <w:rsid w:val="00DF6F37"/>
    <w:rsid w:val="00E100FF"/>
    <w:rsid w:val="00E10595"/>
    <w:rsid w:val="00E13794"/>
    <w:rsid w:val="00E51EA8"/>
    <w:rsid w:val="00E67C55"/>
    <w:rsid w:val="00E75745"/>
    <w:rsid w:val="00E8367D"/>
    <w:rsid w:val="00E97792"/>
    <w:rsid w:val="00EA10FE"/>
    <w:rsid w:val="00EA2CDE"/>
    <w:rsid w:val="00EA2FBA"/>
    <w:rsid w:val="00EA608E"/>
    <w:rsid w:val="00EA7543"/>
    <w:rsid w:val="00EB46B2"/>
    <w:rsid w:val="00EB6712"/>
    <w:rsid w:val="00EC3B58"/>
    <w:rsid w:val="00EC71CA"/>
    <w:rsid w:val="00ED5BA6"/>
    <w:rsid w:val="00EE3132"/>
    <w:rsid w:val="00EF5576"/>
    <w:rsid w:val="00EF7DF4"/>
    <w:rsid w:val="00F02C34"/>
    <w:rsid w:val="00F059AE"/>
    <w:rsid w:val="00F07236"/>
    <w:rsid w:val="00F11ADA"/>
    <w:rsid w:val="00F165DC"/>
    <w:rsid w:val="00F2019D"/>
    <w:rsid w:val="00F25A5C"/>
    <w:rsid w:val="00F2620A"/>
    <w:rsid w:val="00F432E5"/>
    <w:rsid w:val="00F60EE3"/>
    <w:rsid w:val="00F61652"/>
    <w:rsid w:val="00F72E1B"/>
    <w:rsid w:val="00F81CAF"/>
    <w:rsid w:val="00F94398"/>
    <w:rsid w:val="00F96237"/>
    <w:rsid w:val="00FA4CF2"/>
    <w:rsid w:val="00FA58F2"/>
    <w:rsid w:val="00FC58F9"/>
    <w:rsid w:val="00FD346D"/>
    <w:rsid w:val="00FE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D13B3"/>
  <w15:docId w15:val="{73FAF435-139C-4260-BFE2-7A763C9D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AE4095"/>
    <w:pPr>
      <w:widowControl w:val="0"/>
      <w:suppressAutoHyphens/>
    </w:pPr>
    <w:rPr>
      <w:rFonts w:ascii="Verdana" w:eastAsia="Lucida Sans Unicode" w:hAnsi="Verdana"/>
      <w:szCs w:val="24"/>
    </w:rPr>
  </w:style>
  <w:style w:type="paragraph" w:styleId="Nadpis1">
    <w:name w:val="heading 1"/>
    <w:basedOn w:val="Normln"/>
    <w:next w:val="Normln"/>
    <w:link w:val="Nadpis1Char"/>
    <w:qFormat/>
    <w:rsid w:val="001C0AC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AE4095"/>
  </w:style>
  <w:style w:type="character" w:styleId="Hypertextovodkaz">
    <w:name w:val="Hyperlink"/>
    <w:uiPriority w:val="99"/>
    <w:rsid w:val="00AE4095"/>
    <w:rPr>
      <w:color w:val="000080"/>
      <w:u w:val="single"/>
    </w:rPr>
  </w:style>
  <w:style w:type="paragraph" w:customStyle="1" w:styleId="Nadpis">
    <w:name w:val="Nadpis"/>
    <w:basedOn w:val="Normln"/>
    <w:next w:val="Zkladntext"/>
    <w:rsid w:val="00AE4095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"/>
    <w:rsid w:val="00AE4095"/>
    <w:pPr>
      <w:spacing w:after="120"/>
    </w:pPr>
  </w:style>
  <w:style w:type="paragraph" w:styleId="Seznam">
    <w:name w:val="List"/>
    <w:basedOn w:val="Zkladntext"/>
    <w:rsid w:val="00AE4095"/>
    <w:rPr>
      <w:rFonts w:cs="Tahoma"/>
    </w:rPr>
  </w:style>
  <w:style w:type="paragraph" w:customStyle="1" w:styleId="Popisek">
    <w:name w:val="Popisek"/>
    <w:basedOn w:val="Normln"/>
    <w:rsid w:val="00AE4095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AE4095"/>
    <w:pPr>
      <w:suppressLineNumbers/>
    </w:pPr>
    <w:rPr>
      <w:rFonts w:cs="Tahoma"/>
    </w:rPr>
  </w:style>
  <w:style w:type="paragraph" w:customStyle="1" w:styleId="slovanNadpis3">
    <w:name w:val="Číslovaný Nadpis 3"/>
    <w:next w:val="Normln"/>
    <w:rsid w:val="00AE4095"/>
    <w:pPr>
      <w:keepNext/>
      <w:tabs>
        <w:tab w:val="left" w:pos="1134"/>
      </w:tabs>
      <w:suppressAutoHyphens/>
      <w:spacing w:before="120" w:after="60"/>
    </w:pPr>
    <w:rPr>
      <w:rFonts w:ascii="FuturaT" w:hAnsi="FuturaT"/>
      <w:b/>
      <w:sz w:val="24"/>
      <w:lang w:eastAsia="ar-SA"/>
    </w:rPr>
  </w:style>
  <w:style w:type="paragraph" w:styleId="Zkladntextodsazen">
    <w:name w:val="Body Text Indent"/>
    <w:basedOn w:val="Normln"/>
    <w:rsid w:val="00AE4095"/>
    <w:pPr>
      <w:spacing w:line="360" w:lineRule="auto"/>
      <w:ind w:firstLine="1134"/>
      <w:jc w:val="both"/>
    </w:pPr>
    <w:rPr>
      <w:sz w:val="24"/>
    </w:rPr>
  </w:style>
  <w:style w:type="paragraph" w:styleId="Zhlav">
    <w:name w:val="header"/>
    <w:basedOn w:val="Normln"/>
    <w:link w:val="ZhlavChar"/>
    <w:rsid w:val="001C0AC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C0ACF"/>
    <w:rPr>
      <w:rFonts w:ascii="Verdana" w:eastAsia="Lucida Sans Unicode" w:hAnsi="Verdana"/>
      <w:szCs w:val="24"/>
    </w:rPr>
  </w:style>
  <w:style w:type="paragraph" w:styleId="Zpat">
    <w:name w:val="footer"/>
    <w:basedOn w:val="Normln"/>
    <w:link w:val="ZpatChar"/>
    <w:uiPriority w:val="99"/>
    <w:rsid w:val="001C0AC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C0ACF"/>
    <w:rPr>
      <w:rFonts w:ascii="Verdana" w:eastAsia="Lucida Sans Unicode" w:hAnsi="Verdana"/>
      <w:szCs w:val="24"/>
    </w:rPr>
  </w:style>
  <w:style w:type="character" w:customStyle="1" w:styleId="Nadpis1Char">
    <w:name w:val="Nadpis 1 Char"/>
    <w:link w:val="Nadpis1"/>
    <w:rsid w:val="001C0AC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0ACF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styleId="Siln">
    <w:name w:val="Strong"/>
    <w:qFormat/>
    <w:rsid w:val="002021AF"/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2021AF"/>
  </w:style>
  <w:style w:type="paragraph" w:styleId="Odstavecseseznamem">
    <w:name w:val="List Paragraph"/>
    <w:basedOn w:val="Normln"/>
    <w:uiPriority w:val="34"/>
    <w:qFormat/>
    <w:rsid w:val="00F2620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037E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37E4B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1645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JUTA</Company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Pauzar</dc:creator>
  <cp:keywords/>
  <cp:lastModifiedBy>David Pauzar</cp:lastModifiedBy>
  <cp:revision>18</cp:revision>
  <cp:lastPrinted>2019-10-25T13:46:00Z</cp:lastPrinted>
  <dcterms:created xsi:type="dcterms:W3CDTF">2019-07-24T11:58:00Z</dcterms:created>
  <dcterms:modified xsi:type="dcterms:W3CDTF">2019-10-28T08:37:00Z</dcterms:modified>
</cp:coreProperties>
</file>