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3E0" w:rsidRPr="00DE03E0" w:rsidRDefault="00DE03E0">
      <w:pPr>
        <w:pStyle w:val="Nadpisobsahu"/>
        <w:rPr>
          <w:rFonts w:eastAsiaTheme="minorHAnsi" w:cstheme="minorBidi"/>
          <w:caps w:val="0"/>
          <w:sz w:val="40"/>
          <w:szCs w:val="40"/>
          <w:lang w:eastAsia="en-US"/>
        </w:rPr>
      </w:pPr>
      <w:bookmarkStart w:id="0" w:name="_Toc420004060"/>
      <w:r w:rsidRPr="00DE03E0">
        <w:rPr>
          <w:rFonts w:eastAsiaTheme="minorHAnsi" w:cstheme="minorBidi"/>
          <w:caps w:val="0"/>
          <w:sz w:val="40"/>
          <w:szCs w:val="40"/>
          <w:lang w:eastAsia="en-US"/>
        </w:rPr>
        <w:tab/>
        <w:t>TECHNICKÁ  ZPRÁVA</w:t>
      </w:r>
    </w:p>
    <w:sdt>
      <w:sdtPr>
        <w:rPr>
          <w:rFonts w:eastAsiaTheme="minorHAnsi" w:cstheme="minorBidi"/>
          <w:b w:val="0"/>
          <w:caps w:val="0"/>
          <w:sz w:val="24"/>
          <w:szCs w:val="22"/>
          <w:lang w:eastAsia="en-US"/>
        </w:rPr>
        <w:id w:val="-211434889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0235B0" w:rsidRDefault="000235B0">
          <w:pPr>
            <w:pStyle w:val="Nadpisobsahu"/>
          </w:pPr>
          <w:r>
            <w:t>Obsah</w:t>
          </w:r>
        </w:p>
        <w:p w:rsidR="008F7299" w:rsidRDefault="00002788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r>
            <w:rPr>
              <w:caps w:val="0"/>
              <w:szCs w:val="24"/>
            </w:rPr>
            <w:fldChar w:fldCharType="begin"/>
          </w:r>
          <w:r>
            <w:rPr>
              <w:caps w:val="0"/>
              <w:szCs w:val="24"/>
            </w:rPr>
            <w:instrText xml:space="preserve"> TOC \o "2-5" \h \z \t "Nadpis 1;1" </w:instrText>
          </w:r>
          <w:r>
            <w:rPr>
              <w:caps w:val="0"/>
              <w:szCs w:val="24"/>
            </w:rPr>
            <w:fldChar w:fldCharType="separate"/>
          </w:r>
          <w:hyperlink w:anchor="_Toc475535455" w:history="1">
            <w:r w:rsidR="008F7299" w:rsidRPr="00C3388A">
              <w:rPr>
                <w:rStyle w:val="Hypertextovodkaz"/>
                <w:noProof/>
              </w:rPr>
              <w:t>1.</w:t>
            </w:r>
            <w:r w:rsidR="008F7299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7299" w:rsidRPr="00C3388A">
              <w:rPr>
                <w:rStyle w:val="Hypertextovodkaz"/>
                <w:noProof/>
              </w:rPr>
              <w:t>úVOD</w:t>
            </w:r>
            <w:r w:rsidR="008F7299">
              <w:rPr>
                <w:noProof/>
                <w:webHidden/>
              </w:rPr>
              <w:tab/>
            </w:r>
            <w:r w:rsidR="008F7299">
              <w:rPr>
                <w:noProof/>
                <w:webHidden/>
              </w:rPr>
              <w:fldChar w:fldCharType="begin"/>
            </w:r>
            <w:r w:rsidR="008F7299">
              <w:rPr>
                <w:noProof/>
                <w:webHidden/>
              </w:rPr>
              <w:instrText xml:space="preserve"> PAGEREF _Toc475535455 \h </w:instrText>
            </w:r>
            <w:r w:rsidR="008F7299">
              <w:rPr>
                <w:noProof/>
                <w:webHidden/>
              </w:rPr>
            </w:r>
            <w:r w:rsidR="008F7299">
              <w:rPr>
                <w:noProof/>
                <w:webHidden/>
              </w:rPr>
              <w:fldChar w:fldCharType="separate"/>
            </w:r>
            <w:r w:rsidR="008F7299">
              <w:rPr>
                <w:noProof/>
                <w:webHidden/>
              </w:rPr>
              <w:t>2</w:t>
            </w:r>
            <w:r w:rsidR="008F7299">
              <w:rPr>
                <w:noProof/>
                <w:webHidden/>
              </w:rPr>
              <w:fldChar w:fldCharType="end"/>
            </w:r>
          </w:hyperlink>
        </w:p>
        <w:p w:rsidR="008F7299" w:rsidRDefault="0035563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456" w:history="1">
            <w:r w:rsidR="008F7299" w:rsidRPr="00C3388A">
              <w:rPr>
                <w:rStyle w:val="Hypertextovodkaz"/>
                <w:noProof/>
              </w:rPr>
              <w:t>1.1</w:t>
            </w:r>
            <w:r w:rsidR="008F7299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7299" w:rsidRPr="00C3388A">
              <w:rPr>
                <w:rStyle w:val="Hypertextovodkaz"/>
                <w:noProof/>
              </w:rPr>
              <w:t>ROZSAH PROJEKTU</w:t>
            </w:r>
            <w:r w:rsidR="008F7299">
              <w:rPr>
                <w:noProof/>
                <w:webHidden/>
              </w:rPr>
              <w:tab/>
            </w:r>
            <w:r w:rsidR="008F7299">
              <w:rPr>
                <w:noProof/>
                <w:webHidden/>
              </w:rPr>
              <w:fldChar w:fldCharType="begin"/>
            </w:r>
            <w:r w:rsidR="008F7299">
              <w:rPr>
                <w:noProof/>
                <w:webHidden/>
              </w:rPr>
              <w:instrText xml:space="preserve"> PAGEREF _Toc475535456 \h </w:instrText>
            </w:r>
            <w:r w:rsidR="008F7299">
              <w:rPr>
                <w:noProof/>
                <w:webHidden/>
              </w:rPr>
            </w:r>
            <w:r w:rsidR="008F7299">
              <w:rPr>
                <w:noProof/>
                <w:webHidden/>
              </w:rPr>
              <w:fldChar w:fldCharType="separate"/>
            </w:r>
            <w:r w:rsidR="008F7299">
              <w:rPr>
                <w:noProof/>
                <w:webHidden/>
              </w:rPr>
              <w:t>2</w:t>
            </w:r>
            <w:r w:rsidR="008F7299">
              <w:rPr>
                <w:noProof/>
                <w:webHidden/>
              </w:rPr>
              <w:fldChar w:fldCharType="end"/>
            </w:r>
          </w:hyperlink>
        </w:p>
        <w:p w:rsidR="008F7299" w:rsidRDefault="0035563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457" w:history="1">
            <w:r w:rsidR="008F7299" w:rsidRPr="00C3388A">
              <w:rPr>
                <w:rStyle w:val="Hypertextovodkaz"/>
                <w:noProof/>
              </w:rPr>
              <w:t>1.2</w:t>
            </w:r>
            <w:r w:rsidR="008F7299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7299" w:rsidRPr="00C3388A">
              <w:rPr>
                <w:rStyle w:val="Hypertextovodkaz"/>
                <w:noProof/>
              </w:rPr>
              <w:t>VÝCHOZÍ PODKLADY</w:t>
            </w:r>
            <w:r w:rsidR="008F7299">
              <w:rPr>
                <w:noProof/>
                <w:webHidden/>
              </w:rPr>
              <w:tab/>
            </w:r>
            <w:r w:rsidR="008F7299">
              <w:rPr>
                <w:noProof/>
                <w:webHidden/>
              </w:rPr>
              <w:fldChar w:fldCharType="begin"/>
            </w:r>
            <w:r w:rsidR="008F7299">
              <w:rPr>
                <w:noProof/>
                <w:webHidden/>
              </w:rPr>
              <w:instrText xml:space="preserve"> PAGEREF _Toc475535457 \h </w:instrText>
            </w:r>
            <w:r w:rsidR="008F7299">
              <w:rPr>
                <w:noProof/>
                <w:webHidden/>
              </w:rPr>
            </w:r>
            <w:r w:rsidR="008F7299">
              <w:rPr>
                <w:noProof/>
                <w:webHidden/>
              </w:rPr>
              <w:fldChar w:fldCharType="separate"/>
            </w:r>
            <w:r w:rsidR="008F7299">
              <w:rPr>
                <w:noProof/>
                <w:webHidden/>
              </w:rPr>
              <w:t>2</w:t>
            </w:r>
            <w:r w:rsidR="008F7299">
              <w:rPr>
                <w:noProof/>
                <w:webHidden/>
              </w:rPr>
              <w:fldChar w:fldCharType="end"/>
            </w:r>
          </w:hyperlink>
        </w:p>
        <w:p w:rsidR="008F7299" w:rsidRDefault="0035563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458" w:history="1">
            <w:r w:rsidR="008F7299" w:rsidRPr="00C3388A">
              <w:rPr>
                <w:rStyle w:val="Hypertextovodkaz"/>
                <w:noProof/>
              </w:rPr>
              <w:t>1.3</w:t>
            </w:r>
            <w:r w:rsidR="008F7299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7299" w:rsidRPr="00C3388A">
              <w:rPr>
                <w:rStyle w:val="Hypertextovodkaz"/>
                <w:noProof/>
              </w:rPr>
              <w:t>SEZNAM POUŽITÝCH NOREM</w:t>
            </w:r>
            <w:r w:rsidR="008F7299">
              <w:rPr>
                <w:noProof/>
                <w:webHidden/>
              </w:rPr>
              <w:tab/>
            </w:r>
            <w:r w:rsidR="008F7299">
              <w:rPr>
                <w:noProof/>
                <w:webHidden/>
              </w:rPr>
              <w:fldChar w:fldCharType="begin"/>
            </w:r>
            <w:r w:rsidR="008F7299">
              <w:rPr>
                <w:noProof/>
                <w:webHidden/>
              </w:rPr>
              <w:instrText xml:space="preserve"> PAGEREF _Toc475535458 \h </w:instrText>
            </w:r>
            <w:r w:rsidR="008F7299">
              <w:rPr>
                <w:noProof/>
                <w:webHidden/>
              </w:rPr>
            </w:r>
            <w:r w:rsidR="008F7299">
              <w:rPr>
                <w:noProof/>
                <w:webHidden/>
              </w:rPr>
              <w:fldChar w:fldCharType="separate"/>
            </w:r>
            <w:r w:rsidR="008F7299">
              <w:rPr>
                <w:noProof/>
                <w:webHidden/>
              </w:rPr>
              <w:t>2</w:t>
            </w:r>
            <w:r w:rsidR="008F7299">
              <w:rPr>
                <w:noProof/>
                <w:webHidden/>
              </w:rPr>
              <w:fldChar w:fldCharType="end"/>
            </w:r>
          </w:hyperlink>
        </w:p>
        <w:p w:rsidR="008F7299" w:rsidRDefault="00355635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459" w:history="1">
            <w:r w:rsidR="008F7299" w:rsidRPr="00C3388A">
              <w:rPr>
                <w:rStyle w:val="Hypertextovodkaz"/>
                <w:noProof/>
              </w:rPr>
              <w:t>2.</w:t>
            </w:r>
            <w:r w:rsidR="008F7299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7299" w:rsidRPr="00C3388A">
              <w:rPr>
                <w:rStyle w:val="Hypertextovodkaz"/>
                <w:noProof/>
              </w:rPr>
              <w:t>POPIS TECHNICKÉHO ŘEŠENÍ</w:t>
            </w:r>
            <w:r w:rsidR="008F7299">
              <w:rPr>
                <w:noProof/>
                <w:webHidden/>
              </w:rPr>
              <w:tab/>
            </w:r>
            <w:r w:rsidR="008F7299">
              <w:rPr>
                <w:noProof/>
                <w:webHidden/>
              </w:rPr>
              <w:fldChar w:fldCharType="begin"/>
            </w:r>
            <w:r w:rsidR="008F7299">
              <w:rPr>
                <w:noProof/>
                <w:webHidden/>
              </w:rPr>
              <w:instrText xml:space="preserve"> PAGEREF _Toc475535459 \h </w:instrText>
            </w:r>
            <w:r w:rsidR="008F7299">
              <w:rPr>
                <w:noProof/>
                <w:webHidden/>
              </w:rPr>
            </w:r>
            <w:r w:rsidR="008F7299">
              <w:rPr>
                <w:noProof/>
                <w:webHidden/>
              </w:rPr>
              <w:fldChar w:fldCharType="separate"/>
            </w:r>
            <w:r w:rsidR="008F7299">
              <w:rPr>
                <w:noProof/>
                <w:webHidden/>
              </w:rPr>
              <w:t>3</w:t>
            </w:r>
            <w:r w:rsidR="008F7299">
              <w:rPr>
                <w:noProof/>
                <w:webHidden/>
              </w:rPr>
              <w:fldChar w:fldCharType="end"/>
            </w:r>
          </w:hyperlink>
        </w:p>
        <w:p w:rsidR="008F7299" w:rsidRDefault="0035563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460" w:history="1">
            <w:r w:rsidR="008F7299" w:rsidRPr="00C3388A">
              <w:rPr>
                <w:rStyle w:val="Hypertextovodkaz"/>
                <w:noProof/>
              </w:rPr>
              <w:t>2.1</w:t>
            </w:r>
            <w:r w:rsidR="008F7299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7299" w:rsidRPr="00C3388A">
              <w:rPr>
                <w:rStyle w:val="Hypertextovodkaz"/>
                <w:noProof/>
              </w:rPr>
              <w:t>ZÁKLADNÍ TECHNICKÉ ÚDAJE</w:t>
            </w:r>
            <w:r w:rsidR="008F7299">
              <w:rPr>
                <w:noProof/>
                <w:webHidden/>
              </w:rPr>
              <w:tab/>
            </w:r>
            <w:r w:rsidR="008F7299">
              <w:rPr>
                <w:noProof/>
                <w:webHidden/>
              </w:rPr>
              <w:fldChar w:fldCharType="begin"/>
            </w:r>
            <w:r w:rsidR="008F7299">
              <w:rPr>
                <w:noProof/>
                <w:webHidden/>
              </w:rPr>
              <w:instrText xml:space="preserve"> PAGEREF _Toc475535460 \h </w:instrText>
            </w:r>
            <w:r w:rsidR="008F7299">
              <w:rPr>
                <w:noProof/>
                <w:webHidden/>
              </w:rPr>
            </w:r>
            <w:r w:rsidR="008F7299">
              <w:rPr>
                <w:noProof/>
                <w:webHidden/>
              </w:rPr>
              <w:fldChar w:fldCharType="separate"/>
            </w:r>
            <w:r w:rsidR="008F7299">
              <w:rPr>
                <w:noProof/>
                <w:webHidden/>
              </w:rPr>
              <w:t>3</w:t>
            </w:r>
            <w:r w:rsidR="008F7299">
              <w:rPr>
                <w:noProof/>
                <w:webHidden/>
              </w:rPr>
              <w:fldChar w:fldCharType="end"/>
            </w:r>
          </w:hyperlink>
        </w:p>
        <w:p w:rsidR="008F7299" w:rsidRDefault="0035563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461" w:history="1">
            <w:r w:rsidR="008F7299" w:rsidRPr="00C3388A">
              <w:rPr>
                <w:rStyle w:val="Hypertextovodkaz"/>
                <w:noProof/>
              </w:rPr>
              <w:t>2.2</w:t>
            </w:r>
            <w:r w:rsidR="008F7299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7299" w:rsidRPr="00C3388A">
              <w:rPr>
                <w:rStyle w:val="Hypertextovodkaz"/>
                <w:noProof/>
              </w:rPr>
              <w:t>ENERGETICKÁ BILANCE</w:t>
            </w:r>
            <w:r w:rsidR="008F7299">
              <w:rPr>
                <w:noProof/>
                <w:webHidden/>
              </w:rPr>
              <w:tab/>
            </w:r>
            <w:r w:rsidR="008F7299">
              <w:rPr>
                <w:noProof/>
                <w:webHidden/>
              </w:rPr>
              <w:fldChar w:fldCharType="begin"/>
            </w:r>
            <w:r w:rsidR="008F7299">
              <w:rPr>
                <w:noProof/>
                <w:webHidden/>
              </w:rPr>
              <w:instrText xml:space="preserve"> PAGEREF _Toc475535461 \h </w:instrText>
            </w:r>
            <w:r w:rsidR="008F7299">
              <w:rPr>
                <w:noProof/>
                <w:webHidden/>
              </w:rPr>
            </w:r>
            <w:r w:rsidR="008F7299">
              <w:rPr>
                <w:noProof/>
                <w:webHidden/>
              </w:rPr>
              <w:fldChar w:fldCharType="separate"/>
            </w:r>
            <w:r w:rsidR="008F7299">
              <w:rPr>
                <w:noProof/>
                <w:webHidden/>
              </w:rPr>
              <w:t>4</w:t>
            </w:r>
            <w:r w:rsidR="008F7299">
              <w:rPr>
                <w:noProof/>
                <w:webHidden/>
              </w:rPr>
              <w:fldChar w:fldCharType="end"/>
            </w:r>
          </w:hyperlink>
        </w:p>
        <w:p w:rsidR="008F7299" w:rsidRDefault="00355635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462" w:history="1">
            <w:r w:rsidR="008F7299" w:rsidRPr="00C3388A">
              <w:rPr>
                <w:rStyle w:val="Hypertextovodkaz"/>
                <w:noProof/>
              </w:rPr>
              <w:t>3.</w:t>
            </w:r>
            <w:r w:rsidR="008F7299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7299" w:rsidRPr="00C3388A">
              <w:rPr>
                <w:rStyle w:val="Hypertextovodkaz"/>
                <w:noProof/>
              </w:rPr>
              <w:t>TECHNICKÝ POPIS</w:t>
            </w:r>
            <w:r w:rsidR="008F7299">
              <w:rPr>
                <w:noProof/>
                <w:webHidden/>
              </w:rPr>
              <w:tab/>
            </w:r>
            <w:r w:rsidR="008F7299">
              <w:rPr>
                <w:noProof/>
                <w:webHidden/>
              </w:rPr>
              <w:fldChar w:fldCharType="begin"/>
            </w:r>
            <w:r w:rsidR="008F7299">
              <w:rPr>
                <w:noProof/>
                <w:webHidden/>
              </w:rPr>
              <w:instrText xml:space="preserve"> PAGEREF _Toc475535462 \h </w:instrText>
            </w:r>
            <w:r w:rsidR="008F7299">
              <w:rPr>
                <w:noProof/>
                <w:webHidden/>
              </w:rPr>
            </w:r>
            <w:r w:rsidR="008F7299">
              <w:rPr>
                <w:noProof/>
                <w:webHidden/>
              </w:rPr>
              <w:fldChar w:fldCharType="separate"/>
            </w:r>
            <w:r w:rsidR="008F7299">
              <w:rPr>
                <w:noProof/>
                <w:webHidden/>
              </w:rPr>
              <w:t>4</w:t>
            </w:r>
            <w:r w:rsidR="008F7299">
              <w:rPr>
                <w:noProof/>
                <w:webHidden/>
              </w:rPr>
              <w:fldChar w:fldCharType="end"/>
            </w:r>
          </w:hyperlink>
        </w:p>
        <w:p w:rsidR="008F7299" w:rsidRDefault="0035563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463" w:history="1">
            <w:r w:rsidR="008F7299" w:rsidRPr="00C3388A">
              <w:rPr>
                <w:rStyle w:val="Hypertextovodkaz"/>
                <w:noProof/>
              </w:rPr>
              <w:t>3.1</w:t>
            </w:r>
            <w:r w:rsidR="008F7299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7299" w:rsidRPr="00C3388A">
              <w:rPr>
                <w:rStyle w:val="Hypertextovodkaz"/>
                <w:noProof/>
              </w:rPr>
              <w:t>přeložka a rušení vo</w:t>
            </w:r>
            <w:r w:rsidR="008F7299">
              <w:rPr>
                <w:noProof/>
                <w:webHidden/>
              </w:rPr>
              <w:tab/>
            </w:r>
            <w:r w:rsidR="008F7299">
              <w:rPr>
                <w:noProof/>
                <w:webHidden/>
              </w:rPr>
              <w:fldChar w:fldCharType="begin"/>
            </w:r>
            <w:r w:rsidR="008F7299">
              <w:rPr>
                <w:noProof/>
                <w:webHidden/>
              </w:rPr>
              <w:instrText xml:space="preserve"> PAGEREF _Toc475535463 \h </w:instrText>
            </w:r>
            <w:r w:rsidR="008F7299">
              <w:rPr>
                <w:noProof/>
                <w:webHidden/>
              </w:rPr>
            </w:r>
            <w:r w:rsidR="008F7299">
              <w:rPr>
                <w:noProof/>
                <w:webHidden/>
              </w:rPr>
              <w:fldChar w:fldCharType="separate"/>
            </w:r>
            <w:r w:rsidR="008F7299">
              <w:rPr>
                <w:noProof/>
                <w:webHidden/>
              </w:rPr>
              <w:t>4</w:t>
            </w:r>
            <w:r w:rsidR="008F7299">
              <w:rPr>
                <w:noProof/>
                <w:webHidden/>
              </w:rPr>
              <w:fldChar w:fldCharType="end"/>
            </w:r>
          </w:hyperlink>
        </w:p>
        <w:p w:rsidR="008F7299" w:rsidRDefault="0035563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464" w:history="1">
            <w:r w:rsidR="008F7299" w:rsidRPr="00C3388A">
              <w:rPr>
                <w:rStyle w:val="Hypertextovodkaz"/>
                <w:noProof/>
              </w:rPr>
              <w:t>3.2</w:t>
            </w:r>
            <w:r w:rsidR="008F7299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7299" w:rsidRPr="00C3388A">
              <w:rPr>
                <w:rStyle w:val="Hypertextovodkaz"/>
                <w:noProof/>
              </w:rPr>
              <w:t>REVIZE</w:t>
            </w:r>
            <w:r w:rsidR="008F7299">
              <w:rPr>
                <w:noProof/>
                <w:webHidden/>
              </w:rPr>
              <w:tab/>
            </w:r>
            <w:r w:rsidR="008F7299">
              <w:rPr>
                <w:noProof/>
                <w:webHidden/>
              </w:rPr>
              <w:fldChar w:fldCharType="begin"/>
            </w:r>
            <w:r w:rsidR="008F7299">
              <w:rPr>
                <w:noProof/>
                <w:webHidden/>
              </w:rPr>
              <w:instrText xml:space="preserve"> PAGEREF _Toc475535464 \h </w:instrText>
            </w:r>
            <w:r w:rsidR="008F7299">
              <w:rPr>
                <w:noProof/>
                <w:webHidden/>
              </w:rPr>
            </w:r>
            <w:r w:rsidR="008F7299">
              <w:rPr>
                <w:noProof/>
                <w:webHidden/>
              </w:rPr>
              <w:fldChar w:fldCharType="separate"/>
            </w:r>
            <w:r w:rsidR="008F7299">
              <w:rPr>
                <w:noProof/>
                <w:webHidden/>
              </w:rPr>
              <w:t>4</w:t>
            </w:r>
            <w:r w:rsidR="008F7299">
              <w:rPr>
                <w:noProof/>
                <w:webHidden/>
              </w:rPr>
              <w:fldChar w:fldCharType="end"/>
            </w:r>
          </w:hyperlink>
        </w:p>
        <w:p w:rsidR="000235B0" w:rsidRPr="00EA0376" w:rsidRDefault="00002788" w:rsidP="00EA0376">
          <w:pPr>
            <w:pStyle w:val="Text"/>
            <w:spacing w:after="0"/>
          </w:pPr>
          <w:r>
            <w:rPr>
              <w:caps/>
              <w:szCs w:val="24"/>
            </w:rPr>
            <w:fldChar w:fldCharType="end"/>
          </w:r>
        </w:p>
      </w:sdtContent>
    </w:sdt>
    <w:p w:rsidR="000235B0" w:rsidRPr="00EA0376" w:rsidRDefault="000235B0" w:rsidP="00EA0376">
      <w:pPr>
        <w:pStyle w:val="Text"/>
        <w:rPr>
          <w:rFonts w:eastAsiaTheme="majorEastAsia" w:cstheme="majorBidi"/>
          <w:b/>
          <w:caps/>
          <w:sz w:val="32"/>
          <w:szCs w:val="32"/>
        </w:rPr>
      </w:pPr>
      <w:r w:rsidRPr="00EA0376">
        <w:rPr>
          <w:rFonts w:eastAsiaTheme="majorEastAsia" w:cstheme="majorBidi"/>
          <w:b/>
          <w:caps/>
          <w:sz w:val="32"/>
          <w:szCs w:val="32"/>
        </w:rPr>
        <w:br w:type="page"/>
      </w:r>
    </w:p>
    <w:p w:rsidR="000235B0" w:rsidRDefault="00DE03E0" w:rsidP="00406412">
      <w:pPr>
        <w:pStyle w:val="Nadpis10"/>
        <w:keepLines w:val="0"/>
        <w:numPr>
          <w:ilvl w:val="0"/>
          <w:numId w:val="9"/>
        </w:numPr>
        <w:ind w:left="964" w:hanging="964"/>
        <w:rPr>
          <w:sz w:val="28"/>
          <w:szCs w:val="28"/>
        </w:rPr>
      </w:pPr>
      <w:bookmarkStart w:id="1" w:name="_Toc452983304"/>
      <w:bookmarkStart w:id="2" w:name="_Toc452983550"/>
      <w:bookmarkStart w:id="3" w:name="_Toc475535455"/>
      <w:bookmarkEnd w:id="0"/>
      <w:r w:rsidRPr="009664F8">
        <w:rPr>
          <w:sz w:val="28"/>
          <w:szCs w:val="28"/>
        </w:rPr>
        <w:lastRenderedPageBreak/>
        <w:t>úVOD</w:t>
      </w:r>
      <w:bookmarkEnd w:id="1"/>
      <w:bookmarkEnd w:id="2"/>
      <w:bookmarkEnd w:id="3"/>
    </w:p>
    <w:p w:rsidR="00DE03E0" w:rsidRPr="009664F8" w:rsidRDefault="009664F8" w:rsidP="00D32FA8">
      <w:pPr>
        <w:pStyle w:val="Nadpis2"/>
      </w:pPr>
      <w:r w:rsidRPr="009664F8">
        <w:t xml:space="preserve"> </w:t>
      </w:r>
      <w:bookmarkStart w:id="4" w:name="_Toc452983305"/>
      <w:bookmarkStart w:id="5" w:name="_Toc452983551"/>
      <w:bookmarkStart w:id="6" w:name="_Toc475535456"/>
      <w:r w:rsidR="00DE03E0" w:rsidRPr="009664F8">
        <w:t>ROZSAH PROJEKTU</w:t>
      </w:r>
      <w:bookmarkEnd w:id="4"/>
      <w:bookmarkEnd w:id="5"/>
      <w:bookmarkEnd w:id="6"/>
    </w:p>
    <w:p w:rsidR="00FB5590" w:rsidRPr="009664F8" w:rsidRDefault="00B26A82" w:rsidP="00444E5C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Stávající dvě</w:t>
      </w:r>
      <w:r w:rsidR="0083524B">
        <w:rPr>
          <w:sz w:val="20"/>
          <w:szCs w:val="20"/>
          <w:lang w:eastAsia="cs-CZ"/>
        </w:rPr>
        <w:t xml:space="preserve"> trasy</w:t>
      </w:r>
      <w:r w:rsidR="00017CB4">
        <w:rPr>
          <w:sz w:val="20"/>
          <w:szCs w:val="20"/>
          <w:lang w:eastAsia="cs-CZ"/>
        </w:rPr>
        <w:t xml:space="preserve"> kabelů</w:t>
      </w:r>
      <w:r w:rsidR="0083524B">
        <w:rPr>
          <w:sz w:val="20"/>
          <w:szCs w:val="20"/>
          <w:lang w:eastAsia="cs-CZ"/>
        </w:rPr>
        <w:t xml:space="preserve"> VO</w:t>
      </w:r>
      <w:r w:rsidR="00FC018E">
        <w:rPr>
          <w:sz w:val="20"/>
          <w:szCs w:val="20"/>
          <w:lang w:eastAsia="cs-CZ"/>
        </w:rPr>
        <w:t>, které jsou rušeny,</w:t>
      </w:r>
      <w:r w:rsidR="0083524B">
        <w:rPr>
          <w:sz w:val="20"/>
          <w:szCs w:val="20"/>
          <w:lang w:eastAsia="cs-CZ"/>
        </w:rPr>
        <w:t xml:space="preserve"> budou nově</w:t>
      </w:r>
      <w:r w:rsidR="00FC018E">
        <w:rPr>
          <w:sz w:val="20"/>
          <w:szCs w:val="20"/>
          <w:lang w:eastAsia="cs-CZ"/>
        </w:rPr>
        <w:t xml:space="preserve"> nahrazeny kabely, které jsou</w:t>
      </w:r>
      <w:r w:rsidR="0083524B">
        <w:rPr>
          <w:sz w:val="20"/>
          <w:szCs w:val="20"/>
          <w:lang w:eastAsia="cs-CZ"/>
        </w:rPr>
        <w:t xml:space="preserve"> veden</w:t>
      </w:r>
      <w:r w:rsidR="00FC018E">
        <w:rPr>
          <w:sz w:val="20"/>
          <w:szCs w:val="20"/>
          <w:lang w:eastAsia="cs-CZ"/>
        </w:rPr>
        <w:t>y</w:t>
      </w:r>
      <w:r w:rsidR="0083524B">
        <w:rPr>
          <w:sz w:val="20"/>
          <w:szCs w:val="20"/>
          <w:lang w:eastAsia="cs-CZ"/>
        </w:rPr>
        <w:t xml:space="preserve"> v </w:t>
      </w:r>
      <w:r w:rsidR="00FC018E">
        <w:rPr>
          <w:sz w:val="20"/>
          <w:szCs w:val="20"/>
          <w:lang w:eastAsia="cs-CZ"/>
        </w:rPr>
        <w:t>nových</w:t>
      </w:r>
      <w:r w:rsidR="0083524B">
        <w:rPr>
          <w:sz w:val="20"/>
          <w:szCs w:val="20"/>
          <w:lang w:eastAsia="cs-CZ"/>
        </w:rPr>
        <w:t xml:space="preserve"> </w:t>
      </w:r>
      <w:r w:rsidR="00FC018E">
        <w:rPr>
          <w:sz w:val="20"/>
          <w:szCs w:val="20"/>
          <w:lang w:eastAsia="cs-CZ"/>
        </w:rPr>
        <w:t>trasách</w:t>
      </w:r>
      <w:r w:rsidR="000C1CC7">
        <w:rPr>
          <w:sz w:val="20"/>
          <w:szCs w:val="20"/>
          <w:lang w:eastAsia="cs-CZ"/>
        </w:rPr>
        <w:t>.</w:t>
      </w:r>
      <w:r w:rsidR="00924266">
        <w:rPr>
          <w:sz w:val="20"/>
          <w:szCs w:val="20"/>
          <w:lang w:eastAsia="cs-CZ"/>
        </w:rPr>
        <w:t xml:space="preserve"> S</w:t>
      </w:r>
      <w:r w:rsidR="00F20A0A">
        <w:rPr>
          <w:sz w:val="20"/>
          <w:szCs w:val="20"/>
          <w:lang w:eastAsia="cs-CZ"/>
        </w:rPr>
        <w:t>távající osvětlovací stožáry, nacházející se mimo výstavbu budovy „A“ budou ponechány a napojeny z nových tras</w:t>
      </w:r>
      <w:r>
        <w:rPr>
          <w:sz w:val="20"/>
          <w:szCs w:val="20"/>
          <w:lang w:eastAsia="cs-CZ"/>
        </w:rPr>
        <w:t xml:space="preserve">. </w:t>
      </w:r>
      <w:r w:rsidR="002D378F">
        <w:rPr>
          <w:sz w:val="20"/>
          <w:szCs w:val="20"/>
          <w:lang w:eastAsia="cs-CZ"/>
        </w:rPr>
        <w:t>Značené trasy VO, které jsou v místech výstavby budovy „A“ budou zrušeny.</w:t>
      </w:r>
    </w:p>
    <w:p w:rsidR="002128D8" w:rsidRPr="009664F8" w:rsidRDefault="002128D8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</w:p>
    <w:p w:rsidR="00DE03E0" w:rsidRDefault="009664F8" w:rsidP="00D32FA8">
      <w:pPr>
        <w:pStyle w:val="Nadpis2"/>
      </w:pPr>
      <w:r>
        <w:t xml:space="preserve"> </w:t>
      </w:r>
      <w:bookmarkStart w:id="7" w:name="_Toc452983306"/>
      <w:bookmarkStart w:id="8" w:name="_Toc452983552"/>
      <w:bookmarkStart w:id="9" w:name="_Toc475535457"/>
      <w:r>
        <w:t>VÝCHOZÍ PODKLADY</w:t>
      </w:r>
      <w:bookmarkEnd w:id="7"/>
      <w:bookmarkEnd w:id="8"/>
      <w:bookmarkEnd w:id="9"/>
    </w:p>
    <w:p w:rsidR="00DE03E0" w:rsidRPr="009664F8" w:rsidRDefault="00760F4E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Koordinační PD a výkresy jsou nadřazeny této PD</w:t>
      </w:r>
    </w:p>
    <w:p w:rsidR="00DE03E0" w:rsidRDefault="00760F4E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Projektové podklady použité pro zpracování PD:</w:t>
      </w:r>
    </w:p>
    <w:p w:rsidR="00760F4E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Typové technické podklady</w:t>
      </w:r>
    </w:p>
    <w:p w:rsidR="00760F4E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Stavební podklady</w:t>
      </w:r>
    </w:p>
    <w:p w:rsidR="00760F4E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Podklady jednotlivých profesí </w:t>
      </w:r>
    </w:p>
    <w:p w:rsidR="00760F4E" w:rsidRDefault="001C2309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Kontrolní dny a odsouhlase</w:t>
      </w:r>
      <w:r w:rsidR="00760F4E">
        <w:rPr>
          <w:sz w:val="20"/>
          <w:szCs w:val="20"/>
          <w:lang w:eastAsia="cs-CZ"/>
        </w:rPr>
        <w:t>ní koncepce</w:t>
      </w:r>
    </w:p>
    <w:p w:rsidR="00760F4E" w:rsidRDefault="00760F4E" w:rsidP="00760F4E">
      <w:pPr>
        <w:pStyle w:val="Text"/>
        <w:spacing w:after="0"/>
        <w:ind w:left="36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PD ESI je vyhotovena na základě dostupných informací, které byly známé do doby vydání této PD</w:t>
      </w:r>
    </w:p>
    <w:p w:rsidR="00760F4E" w:rsidRDefault="00760F4E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</w:p>
    <w:p w:rsidR="009664F8" w:rsidRDefault="009664F8" w:rsidP="00D32FA8">
      <w:pPr>
        <w:pStyle w:val="Nadpis2"/>
      </w:pPr>
      <w:r>
        <w:t xml:space="preserve"> </w:t>
      </w:r>
      <w:bookmarkStart w:id="10" w:name="_Toc452983307"/>
      <w:bookmarkStart w:id="11" w:name="_Toc452983553"/>
      <w:bookmarkStart w:id="12" w:name="_Toc475535458"/>
      <w:r w:rsidR="00C869EC">
        <w:t>SEZNAM POUŽITÝCH NOREM</w:t>
      </w:r>
      <w:bookmarkEnd w:id="10"/>
      <w:bookmarkEnd w:id="11"/>
      <w:bookmarkEnd w:id="12"/>
    </w:p>
    <w:p w:rsidR="002E17ED" w:rsidRPr="006B620C" w:rsidRDefault="002E17ED" w:rsidP="006B620C">
      <w:pPr>
        <w:pStyle w:val="Zhlav"/>
        <w:tabs>
          <w:tab w:val="clear" w:pos="4536"/>
          <w:tab w:val="clear" w:pos="9072"/>
        </w:tabs>
        <w:ind w:firstLine="284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 xml:space="preserve">Veškeré výrobky a instalace budou v souladu se zákonem č. 22/1997 Sb., o technických požadavcích na výrobky, včetně všech doplňujících nařízení vlády ČR, vydaných dodatečně k tomuto zákonu. 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>Dokumentace je a stavba bude provedena podle platných zákonů a vyhlášek a podle předpisů ČSN vydaných v době zpracování PD zejména pak: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0120</w:t>
      </w:r>
      <w:r w:rsidRPr="006B620C">
        <w:rPr>
          <w:rFonts w:cs="Arial"/>
          <w:color w:val="000000"/>
          <w:sz w:val="20"/>
          <w:szCs w:val="20"/>
        </w:rPr>
        <w:t xml:space="preserve"> Elektrotechnické předpisy - Normalizovaná napětí IEC /</w:t>
      </w:r>
      <w:r w:rsidRPr="006B620C">
        <w:rPr>
          <w:rFonts w:cs="Arial"/>
          <w:b/>
          <w:color w:val="000000"/>
          <w:sz w:val="20"/>
          <w:szCs w:val="20"/>
        </w:rPr>
        <w:t>09/2001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60059 (33 0125)</w:t>
      </w:r>
      <w:r w:rsidRPr="006B620C">
        <w:rPr>
          <w:rFonts w:cs="Arial"/>
          <w:color w:val="000000"/>
          <w:sz w:val="20"/>
          <w:szCs w:val="20"/>
        </w:rPr>
        <w:t xml:space="preserve"> Normalizované hodnoty proudů IEC /</w:t>
      </w:r>
      <w:r w:rsidRPr="006B620C">
        <w:rPr>
          <w:rFonts w:cs="Arial"/>
          <w:b/>
          <w:color w:val="000000"/>
          <w:sz w:val="20"/>
          <w:szCs w:val="20"/>
        </w:rPr>
        <w:t>01/2001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60446 ed.2 (33 0165)</w:t>
      </w:r>
      <w:r w:rsidRPr="006B620C">
        <w:rPr>
          <w:rFonts w:cs="Arial"/>
          <w:color w:val="000000"/>
          <w:sz w:val="20"/>
          <w:szCs w:val="20"/>
        </w:rPr>
        <w:t xml:space="preserve"> Základní a bezpečnostní zásady pro rozhraní člověk-stroj, značení a identifikaci - Označování vodičů barvami nebo písmeny a číslicemi /</w:t>
      </w:r>
      <w:r w:rsidRPr="006B620C">
        <w:rPr>
          <w:rFonts w:cs="Arial"/>
          <w:b/>
          <w:color w:val="000000"/>
          <w:sz w:val="20"/>
          <w:szCs w:val="20"/>
        </w:rPr>
        <w:t>04/2008/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60529 (33 0330)</w:t>
      </w:r>
      <w:r w:rsidRPr="006B620C">
        <w:rPr>
          <w:rFonts w:cs="Arial"/>
          <w:color w:val="000000"/>
          <w:sz w:val="20"/>
          <w:szCs w:val="20"/>
        </w:rPr>
        <w:t xml:space="preserve"> Stupně ochrany krytem (krytí - IP kód) </w:t>
      </w:r>
      <w:r w:rsidRPr="006B620C">
        <w:rPr>
          <w:rFonts w:cs="Arial"/>
          <w:b/>
          <w:color w:val="000000"/>
          <w:sz w:val="20"/>
          <w:szCs w:val="20"/>
        </w:rPr>
        <w:t>/12/1993/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1500</w:t>
      </w:r>
      <w:r w:rsidRPr="006B620C">
        <w:rPr>
          <w:rFonts w:cs="Arial"/>
          <w:color w:val="000000"/>
          <w:sz w:val="20"/>
          <w:szCs w:val="20"/>
        </w:rPr>
        <w:t xml:space="preserve"> Elektrotechnické předpisy. Revize elektrických zařízení </w:t>
      </w:r>
      <w:r w:rsidRPr="006B620C">
        <w:rPr>
          <w:rFonts w:cs="Arial"/>
          <w:b/>
          <w:color w:val="000000"/>
          <w:sz w:val="20"/>
          <w:szCs w:val="20"/>
        </w:rPr>
        <w:t>/06/1991/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 xml:space="preserve">ČSN 33 2000-1 ed.2 </w:t>
      </w:r>
      <w:r w:rsidRPr="006B620C">
        <w:rPr>
          <w:rFonts w:cs="Arial"/>
          <w:color w:val="000000"/>
          <w:sz w:val="20"/>
          <w:szCs w:val="20"/>
        </w:rPr>
        <w:t xml:space="preserve">Elektrické instalace nízkého napětí - Část 1: Základní hlediska, stanovení základních charakteristik, definice </w:t>
      </w:r>
      <w:r w:rsidRPr="006B620C">
        <w:rPr>
          <w:rFonts w:cs="Arial"/>
          <w:b/>
          <w:color w:val="000000"/>
          <w:sz w:val="20"/>
          <w:szCs w:val="20"/>
        </w:rPr>
        <w:t>/06/2009/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2000-4-41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4-41: Ochranná opatření pro zajištění bezpečnosti - Ochrana před úrazem elektrickým proudem </w:t>
      </w:r>
      <w:r w:rsidRPr="006B620C">
        <w:rPr>
          <w:rFonts w:cs="Arial"/>
          <w:b/>
          <w:color w:val="000000"/>
          <w:sz w:val="20"/>
          <w:szCs w:val="20"/>
        </w:rPr>
        <w:t>/08/2007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2000-4-42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4-42: Bezpečnost - Ochrana před účinky tepla /</w:t>
      </w:r>
      <w:r w:rsidRPr="006B620C">
        <w:rPr>
          <w:rFonts w:cs="Arial"/>
          <w:b/>
          <w:color w:val="000000"/>
          <w:sz w:val="20"/>
          <w:szCs w:val="20"/>
        </w:rPr>
        <w:t>03/2012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2000-4-43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4-43: Bezpečnost - Ochrana před nadproudy /</w:t>
      </w:r>
      <w:r w:rsidRPr="006B620C">
        <w:rPr>
          <w:rFonts w:cs="Arial"/>
          <w:b/>
          <w:color w:val="000000"/>
          <w:sz w:val="20"/>
          <w:szCs w:val="20"/>
        </w:rPr>
        <w:t>01/2011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2000-4-45</w:t>
      </w:r>
      <w:r w:rsidRPr="006B620C">
        <w:rPr>
          <w:rFonts w:cs="Arial"/>
          <w:color w:val="000000"/>
          <w:sz w:val="20"/>
          <w:szCs w:val="20"/>
        </w:rPr>
        <w:t xml:space="preserve"> Elektrotechnické předpisy. Elektrická zařízení. Část 4: Bezpečnost. Kapitola 45: Ochrana před podpětím /</w:t>
      </w:r>
      <w:r w:rsidRPr="006B620C">
        <w:rPr>
          <w:rFonts w:cs="Arial"/>
          <w:b/>
          <w:color w:val="000000"/>
          <w:sz w:val="20"/>
          <w:szCs w:val="20"/>
        </w:rPr>
        <w:t>02/1996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2000-4-46 ed.2</w:t>
      </w:r>
      <w:r w:rsidRPr="006B620C">
        <w:rPr>
          <w:rFonts w:cs="Arial"/>
          <w:color w:val="000000"/>
          <w:sz w:val="20"/>
          <w:szCs w:val="20"/>
        </w:rPr>
        <w:t xml:space="preserve"> Elektrotechnické předpisy - Elektrická zařízení - Část 4: Bezpečnost - Kapitola 46: Odpojování a spínání /</w:t>
      </w:r>
      <w:r w:rsidRPr="006B620C">
        <w:rPr>
          <w:rFonts w:cs="Arial"/>
          <w:b/>
          <w:color w:val="000000"/>
          <w:sz w:val="20"/>
          <w:szCs w:val="20"/>
        </w:rPr>
        <w:t>10/2002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2000-4-473</w:t>
      </w:r>
      <w:r w:rsidRPr="006B620C">
        <w:rPr>
          <w:rFonts w:cs="Arial"/>
          <w:color w:val="000000"/>
          <w:sz w:val="20"/>
          <w:szCs w:val="20"/>
        </w:rPr>
        <w:t xml:space="preserve"> Elektrotechnické předpisy. Elektrická zařízení. Část 4: Bezpečnost. Kapitola 47: Použití ochranných opatření pro zajištění bezpečnosti. Oddíl 473: Opatření k ochraně proti nadproudům /</w:t>
      </w:r>
      <w:r w:rsidRPr="006B620C">
        <w:rPr>
          <w:rFonts w:cs="Arial"/>
          <w:b/>
          <w:color w:val="000000"/>
          <w:sz w:val="20"/>
          <w:szCs w:val="20"/>
        </w:rPr>
        <w:t>03/1994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2000-4-482</w:t>
      </w:r>
      <w:r w:rsidRPr="006B620C">
        <w:rPr>
          <w:rFonts w:cs="Arial"/>
          <w:color w:val="000000"/>
          <w:sz w:val="20"/>
          <w:szCs w:val="20"/>
        </w:rPr>
        <w:t xml:space="preserve"> Elektrotechnické předpisy - Elektrická zařízení - Část 4: Bezpečnost - Kapitola 48: Výběr ochranných opatření podle vnějších vlivů - Oddíl 482: Ochrana proti požáru v prostorách se zvláštním rizikem nebo nebezpečím /</w:t>
      </w:r>
      <w:r w:rsidRPr="006B620C">
        <w:rPr>
          <w:rFonts w:cs="Arial"/>
          <w:b/>
          <w:color w:val="000000"/>
          <w:sz w:val="20"/>
          <w:szCs w:val="20"/>
        </w:rPr>
        <w:t>02/2000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2000-5-51 ed.3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5-51: Výběr a stavba elektrických zařízení - Všeobecné předpisy /</w:t>
      </w:r>
      <w:r w:rsidRPr="006B620C">
        <w:rPr>
          <w:rFonts w:cs="Arial"/>
          <w:b/>
          <w:color w:val="000000"/>
          <w:sz w:val="20"/>
          <w:szCs w:val="20"/>
        </w:rPr>
        <w:t>05/2010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TNI 33 2000-5-51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Výběr a stavba elektrických zařízení - Všeobecné předpisy - Vnější vlivy, jejich určování a protokol o určení vnějších vlivů - Komentář k ČSN 33 2000-5-51 ed.3:2010 </w:t>
      </w:r>
      <w:r w:rsidRPr="006B620C">
        <w:rPr>
          <w:rFonts w:cs="Arial"/>
          <w:b/>
          <w:color w:val="000000"/>
          <w:sz w:val="20"/>
          <w:szCs w:val="20"/>
        </w:rPr>
        <w:t>/01/2012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2000-5-52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5-52: Výběr a stavba elektrických zařízení - Elektrická vedení /</w:t>
      </w:r>
      <w:r w:rsidRPr="006B620C">
        <w:rPr>
          <w:rFonts w:cs="Arial"/>
          <w:b/>
          <w:color w:val="000000"/>
          <w:sz w:val="20"/>
          <w:szCs w:val="20"/>
        </w:rPr>
        <w:t>03/2012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2000-5-523 ed.2</w:t>
      </w:r>
      <w:r w:rsidRPr="006B620C">
        <w:rPr>
          <w:rFonts w:cs="Arial"/>
          <w:color w:val="000000"/>
          <w:sz w:val="20"/>
          <w:szCs w:val="20"/>
        </w:rPr>
        <w:t xml:space="preserve"> Elektrické instalace budov - Část 5: Výběr a stavba elektrických zařízení - Oddíl 523: Dovolené proudy v elektrických rozvodech /</w:t>
      </w:r>
      <w:r w:rsidRPr="006B620C">
        <w:rPr>
          <w:rFonts w:cs="Arial"/>
          <w:b/>
          <w:color w:val="000000"/>
          <w:sz w:val="20"/>
          <w:szCs w:val="20"/>
        </w:rPr>
        <w:t>05/2003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2000-5-54 ed.3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5-54: Výběr a stavba elektrických zařízení - Uzemnění a ochranné vodiče /</w:t>
      </w:r>
      <w:r w:rsidRPr="006B620C">
        <w:rPr>
          <w:rFonts w:cs="Arial"/>
          <w:b/>
          <w:color w:val="000000"/>
          <w:sz w:val="20"/>
          <w:szCs w:val="20"/>
        </w:rPr>
        <w:t>05/2012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 xml:space="preserve">ČSN 33 2000-5-56 ed.2 </w:t>
      </w:r>
      <w:r w:rsidRPr="006B620C">
        <w:rPr>
          <w:rFonts w:cs="Arial"/>
          <w:color w:val="000000"/>
          <w:sz w:val="20"/>
          <w:szCs w:val="20"/>
        </w:rPr>
        <w:t>Elektrické instalace nízkého napětí - Část 5-56: Výběr a stavba elektrických zařízení - Zařízení pro bezpečnostní účely /</w:t>
      </w:r>
      <w:r w:rsidRPr="006B620C">
        <w:rPr>
          <w:rFonts w:cs="Arial"/>
          <w:b/>
          <w:color w:val="000000"/>
          <w:sz w:val="20"/>
          <w:szCs w:val="20"/>
        </w:rPr>
        <w:t>11/2010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2000-6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6: Revize /</w:t>
      </w:r>
      <w:r w:rsidRPr="006B620C">
        <w:rPr>
          <w:rFonts w:cs="Arial"/>
          <w:b/>
          <w:color w:val="000000"/>
          <w:sz w:val="20"/>
          <w:szCs w:val="20"/>
        </w:rPr>
        <w:t>10/2007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TNI 33 2000-6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6: Revize - Komentář k ČSN 33 2000-6 </w:t>
      </w:r>
      <w:r w:rsidRPr="006B620C">
        <w:rPr>
          <w:rFonts w:cs="Arial"/>
          <w:b/>
          <w:color w:val="000000"/>
          <w:sz w:val="20"/>
          <w:szCs w:val="20"/>
        </w:rPr>
        <w:t>/12/2008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2000-7-701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7-701: Zařízení jednoúčelová a ve zvláštních objektech - Prostory s vanou nebo sprchou </w:t>
      </w:r>
      <w:r w:rsidRPr="006B620C">
        <w:rPr>
          <w:rFonts w:cs="Arial"/>
          <w:b/>
          <w:color w:val="000000"/>
          <w:sz w:val="20"/>
          <w:szCs w:val="20"/>
        </w:rPr>
        <w:t>/10/2007/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lastRenderedPageBreak/>
        <w:t>TNI 33 2000-7-701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7-701: Zařízení jednoúčelová a ve zvláštních objektech - Prostory s vanou nebo sprchou - Komentář k ČSN 33 2000-7-701 ed.2 / </w:t>
      </w:r>
      <w:r w:rsidRPr="006B620C">
        <w:rPr>
          <w:rFonts w:cs="Arial"/>
          <w:b/>
          <w:color w:val="000000"/>
          <w:sz w:val="20"/>
          <w:szCs w:val="20"/>
        </w:rPr>
        <w:t>/11/2008/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2000-7-704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7-704: Zařízení jednoúčelová a ve zvláštních objektech - Elektrická zařízení na staveništích a demolicích </w:t>
      </w:r>
      <w:r w:rsidRPr="006B620C">
        <w:rPr>
          <w:rFonts w:cs="Arial"/>
          <w:b/>
          <w:color w:val="000000"/>
          <w:sz w:val="20"/>
          <w:szCs w:val="20"/>
        </w:rPr>
        <w:t>/09/2007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2000-7-729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7-729: Zařízení jednoúčelová a ve zvláštních objektech - Uličky pro obsluhu nebo údržbu </w:t>
      </w:r>
      <w:r w:rsidRPr="006B620C">
        <w:rPr>
          <w:rFonts w:cs="Arial"/>
          <w:b/>
          <w:color w:val="000000"/>
          <w:sz w:val="20"/>
          <w:szCs w:val="20"/>
        </w:rPr>
        <w:t>/06/2010/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2030</w:t>
      </w:r>
      <w:r w:rsidRPr="006B620C">
        <w:rPr>
          <w:rFonts w:cs="Arial"/>
          <w:color w:val="000000"/>
          <w:sz w:val="20"/>
          <w:szCs w:val="20"/>
        </w:rPr>
        <w:t xml:space="preserve"> Elektrostatika - Směrnice pro vyloučení nebezpečí od statické elektřiny </w:t>
      </w:r>
      <w:r w:rsidRPr="006B620C">
        <w:rPr>
          <w:rFonts w:cs="Arial"/>
          <w:b/>
          <w:color w:val="000000"/>
          <w:sz w:val="20"/>
          <w:szCs w:val="20"/>
        </w:rPr>
        <w:t>/12/2004/</w:t>
      </w:r>
    </w:p>
    <w:p w:rsidR="002E17ED" w:rsidRPr="006B620C" w:rsidRDefault="002E17ED" w:rsidP="006B620C">
      <w:pPr>
        <w:spacing w:after="0"/>
        <w:jc w:val="both"/>
        <w:rPr>
          <w:sz w:val="20"/>
          <w:szCs w:val="20"/>
        </w:rPr>
      </w:pPr>
      <w:r w:rsidRPr="006B620C">
        <w:rPr>
          <w:b/>
          <w:sz w:val="20"/>
          <w:szCs w:val="20"/>
        </w:rPr>
        <w:t>ČSN 33 2130 ed.2</w:t>
      </w:r>
      <w:r w:rsidRPr="006B620C">
        <w:rPr>
          <w:sz w:val="20"/>
          <w:szCs w:val="20"/>
        </w:rPr>
        <w:t xml:space="preserve"> Elektrické instalace nízkého napětí - Vnitřní elektrické rozvody </w:t>
      </w:r>
      <w:r w:rsidRPr="006B620C">
        <w:rPr>
          <w:b/>
          <w:sz w:val="20"/>
          <w:szCs w:val="20"/>
        </w:rPr>
        <w:t>/10/2009/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b/>
          <w:sz w:val="20"/>
          <w:szCs w:val="20"/>
        </w:rPr>
        <w:t>TNI 33 2130</w:t>
      </w:r>
      <w:r w:rsidRPr="006B620C">
        <w:rPr>
          <w:sz w:val="20"/>
          <w:szCs w:val="20"/>
        </w:rPr>
        <w:t xml:space="preserve"> Elektrické instalace nízkého napětí - Elektrické rozvody v objektech s byty určenými pro osoby se zdravotním postižením a elektroinstalace v kuchyních - Komentář k ČSN 33 2130 ed.2:2009 </w:t>
      </w:r>
      <w:r w:rsidRPr="006B620C">
        <w:rPr>
          <w:b/>
          <w:sz w:val="20"/>
          <w:szCs w:val="20"/>
        </w:rPr>
        <w:t>/11.2011</w:t>
      </w:r>
      <w:r w:rsidRPr="006B620C">
        <w:rPr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60909-0 (33 3022)</w:t>
      </w:r>
      <w:r w:rsidRPr="006B620C">
        <w:rPr>
          <w:sz w:val="20"/>
          <w:szCs w:val="20"/>
        </w:rPr>
        <w:t xml:space="preserve"> </w:t>
      </w:r>
      <w:r w:rsidRPr="006B620C">
        <w:rPr>
          <w:rFonts w:cs="Arial"/>
          <w:color w:val="000000"/>
          <w:sz w:val="20"/>
          <w:szCs w:val="20"/>
        </w:rPr>
        <w:t xml:space="preserve">Zkratové proudy v trojfázových střídavých soustavách - Část 0: Výpočet proudů </w:t>
      </w:r>
      <w:r w:rsidRPr="006B620C">
        <w:rPr>
          <w:rFonts w:cs="Arial"/>
          <w:b/>
          <w:color w:val="000000"/>
          <w:sz w:val="20"/>
          <w:szCs w:val="20"/>
        </w:rPr>
        <w:t>/06/2002/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3022-1</w:t>
      </w:r>
      <w:r w:rsidRPr="006B620C">
        <w:rPr>
          <w:rFonts w:cs="Arial"/>
          <w:color w:val="000000"/>
          <w:sz w:val="20"/>
          <w:szCs w:val="20"/>
        </w:rPr>
        <w:t xml:space="preserve"> Zkratové proudy v trojfázových střídavých soustavách - Část 1: Součinitele pro výpočet zkratových proudů podle IEC 60909-0 /</w:t>
      </w:r>
      <w:r w:rsidRPr="006B620C">
        <w:rPr>
          <w:rFonts w:cs="Arial"/>
          <w:b/>
          <w:color w:val="000000"/>
          <w:sz w:val="20"/>
          <w:szCs w:val="20"/>
        </w:rPr>
        <w:t>06/2004/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12464-1 (36 0450)</w:t>
      </w:r>
      <w:r w:rsidRPr="006B620C">
        <w:rPr>
          <w:rFonts w:cs="Arial"/>
          <w:color w:val="000000"/>
          <w:sz w:val="20"/>
          <w:szCs w:val="20"/>
        </w:rPr>
        <w:t xml:space="preserve"> Světlo a osvětlení - Osvětlení pracovních prostorů - Část 1: Vnitřní pracovní prostory </w:t>
      </w:r>
      <w:r w:rsidRPr="006B620C">
        <w:rPr>
          <w:rFonts w:cs="Arial"/>
          <w:b/>
          <w:color w:val="000000"/>
          <w:sz w:val="20"/>
          <w:szCs w:val="20"/>
        </w:rPr>
        <w:t>/04/2012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12464-2 (36 0450)</w:t>
      </w:r>
      <w:r w:rsidRPr="006B620C">
        <w:rPr>
          <w:rFonts w:cs="Arial"/>
          <w:color w:val="000000"/>
          <w:sz w:val="20"/>
          <w:szCs w:val="20"/>
        </w:rPr>
        <w:t xml:space="preserve"> Světlo a osvětlení - Osvětlení pracovních prostorů - Část 2: Venkovní pracovní prostory </w:t>
      </w:r>
      <w:r w:rsidRPr="006B620C">
        <w:rPr>
          <w:rFonts w:cs="Arial"/>
          <w:b/>
          <w:color w:val="000000"/>
          <w:sz w:val="20"/>
          <w:szCs w:val="20"/>
        </w:rPr>
        <w:t>/08/2008/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1838 (36 0453)</w:t>
      </w:r>
      <w:r w:rsidRPr="006B620C">
        <w:rPr>
          <w:rFonts w:cs="Arial"/>
          <w:color w:val="000000"/>
          <w:sz w:val="20"/>
          <w:szCs w:val="20"/>
        </w:rPr>
        <w:t xml:space="preserve"> Světlo a osvětlení - Nouzové osvětlení </w:t>
      </w:r>
      <w:r w:rsidRPr="006B620C">
        <w:rPr>
          <w:rFonts w:cs="Arial"/>
          <w:b/>
          <w:color w:val="000000"/>
          <w:sz w:val="20"/>
          <w:szCs w:val="20"/>
        </w:rPr>
        <w:t>/10/2000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sz w:val="20"/>
          <w:szCs w:val="20"/>
        </w:rPr>
      </w:pPr>
      <w:r w:rsidRPr="006B620C">
        <w:rPr>
          <w:rFonts w:cs="Arial"/>
          <w:b/>
          <w:sz w:val="20"/>
          <w:szCs w:val="20"/>
        </w:rPr>
        <w:t>ČSN EN 15193 (73 0327)</w:t>
      </w:r>
      <w:r w:rsidRPr="006B620C">
        <w:rPr>
          <w:rFonts w:cs="Arial"/>
          <w:sz w:val="20"/>
          <w:szCs w:val="20"/>
        </w:rPr>
        <w:t xml:space="preserve"> Energetická náročnost budov - Energetické požadavky na osvětlení /</w:t>
      </w:r>
      <w:r w:rsidRPr="006B620C">
        <w:rPr>
          <w:rFonts w:cs="Arial"/>
          <w:b/>
          <w:sz w:val="20"/>
          <w:szCs w:val="20"/>
        </w:rPr>
        <w:t>07/2008</w:t>
      </w:r>
      <w:r w:rsidRPr="006B620C">
        <w:rPr>
          <w:rFonts w:cs="Arial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sz w:val="20"/>
          <w:szCs w:val="20"/>
        </w:rPr>
      </w:pPr>
      <w:r w:rsidRPr="006B620C">
        <w:rPr>
          <w:rFonts w:cs="Arial"/>
          <w:b/>
          <w:sz w:val="20"/>
          <w:szCs w:val="20"/>
        </w:rPr>
        <w:t>TNI 73 0327</w:t>
      </w:r>
      <w:r w:rsidRPr="006B620C">
        <w:rPr>
          <w:rFonts w:cs="Arial"/>
          <w:sz w:val="20"/>
          <w:szCs w:val="20"/>
        </w:rPr>
        <w:t xml:space="preserve"> Energetická náročnost budov - Energetické požadavky na osvětlení </w:t>
      </w:r>
      <w:r w:rsidRPr="006B620C">
        <w:rPr>
          <w:rFonts w:cs="Arial"/>
          <w:b/>
          <w:sz w:val="20"/>
          <w:szCs w:val="20"/>
        </w:rPr>
        <w:t>/01.2012/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73 0802</w:t>
      </w:r>
      <w:r w:rsidRPr="006B620C">
        <w:rPr>
          <w:rFonts w:cs="Arial"/>
          <w:color w:val="000000"/>
          <w:sz w:val="20"/>
          <w:szCs w:val="20"/>
        </w:rPr>
        <w:t xml:space="preserve"> Požární bezpečnost staveb - Nevýrobní objekty </w:t>
      </w:r>
      <w:r w:rsidRPr="006B620C">
        <w:rPr>
          <w:rFonts w:cs="Arial"/>
          <w:b/>
          <w:color w:val="000000"/>
          <w:sz w:val="20"/>
          <w:szCs w:val="20"/>
        </w:rPr>
        <w:t>/06/2009/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 xml:space="preserve">ČSN 73 0848 </w:t>
      </w:r>
      <w:r w:rsidRPr="006B620C">
        <w:rPr>
          <w:rFonts w:cs="Arial"/>
          <w:color w:val="000000"/>
          <w:sz w:val="20"/>
          <w:szCs w:val="20"/>
        </w:rPr>
        <w:t>Požární bezpečnost staveb - Kabelové rozvody</w:t>
      </w:r>
      <w:r w:rsidRPr="006B620C">
        <w:rPr>
          <w:rFonts w:cs="Arial"/>
          <w:b/>
          <w:color w:val="000000"/>
          <w:sz w:val="20"/>
          <w:szCs w:val="20"/>
        </w:rPr>
        <w:t xml:space="preserve"> /05/2009/</w:t>
      </w:r>
    </w:p>
    <w:p w:rsidR="002E17ED" w:rsidRPr="006B620C" w:rsidRDefault="00E71656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62305 část 1-5 ed.2</w:t>
      </w:r>
      <w:r w:rsidRPr="006B620C">
        <w:rPr>
          <w:rFonts w:cs="Arial"/>
          <w:color w:val="000000"/>
          <w:sz w:val="20"/>
          <w:szCs w:val="20"/>
        </w:rPr>
        <w:t xml:space="preserve"> Ochrana před bleskem a přepětím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Cs/>
          <w:sz w:val="20"/>
          <w:szCs w:val="20"/>
        </w:rPr>
        <w:t>Zákon</w:t>
      </w:r>
      <w:r w:rsidRPr="006B620C">
        <w:rPr>
          <w:rFonts w:cs="Arial"/>
          <w:b/>
          <w:bCs/>
          <w:sz w:val="20"/>
          <w:szCs w:val="20"/>
        </w:rPr>
        <w:t xml:space="preserve"> </w:t>
      </w:r>
      <w:r w:rsidRPr="006B620C">
        <w:rPr>
          <w:rFonts w:cs="Arial"/>
          <w:color w:val="000000"/>
          <w:sz w:val="20"/>
          <w:szCs w:val="20"/>
        </w:rPr>
        <w:t>č. 22/1997 Sb.</w:t>
      </w:r>
      <w:r w:rsidRPr="006B620C">
        <w:rPr>
          <w:rFonts w:cs="Arial"/>
          <w:b/>
          <w:bCs/>
          <w:sz w:val="20"/>
          <w:szCs w:val="20"/>
        </w:rPr>
        <w:t xml:space="preserve"> o technických požadavcích na výrobky a o změně a doplnění některých zákonů</w:t>
      </w:r>
      <w:r w:rsidRPr="006B620C">
        <w:rPr>
          <w:rFonts w:cs="Arial"/>
          <w:sz w:val="20"/>
          <w:szCs w:val="20"/>
        </w:rPr>
        <w:t xml:space="preserve"> </w:t>
      </w:r>
      <w:r w:rsidRPr="006B620C">
        <w:rPr>
          <w:rFonts w:cs="Arial"/>
          <w:color w:val="000000"/>
          <w:sz w:val="20"/>
          <w:szCs w:val="20"/>
        </w:rPr>
        <w:t xml:space="preserve">- § 4 </w:t>
      </w:r>
      <w:r w:rsidRPr="006B620C">
        <w:rPr>
          <w:rFonts w:cs="Arial"/>
          <w:b/>
          <w:bCs/>
          <w:sz w:val="20"/>
          <w:szCs w:val="20"/>
        </w:rPr>
        <w:t xml:space="preserve">České technické normy </w:t>
      </w:r>
      <w:r w:rsidRPr="006B620C">
        <w:rPr>
          <w:rFonts w:cs="Arial"/>
          <w:bCs/>
          <w:sz w:val="20"/>
          <w:szCs w:val="20"/>
        </w:rPr>
        <w:t>a</w:t>
      </w:r>
      <w:r w:rsidRPr="006B620C">
        <w:rPr>
          <w:rFonts w:cs="Arial"/>
          <w:b/>
          <w:bCs/>
          <w:sz w:val="20"/>
          <w:szCs w:val="20"/>
        </w:rPr>
        <w:t xml:space="preserve"> § 4a Harmonizované technické normy a určené normy /</w:t>
      </w:r>
      <w:r w:rsidRPr="006B620C">
        <w:rPr>
          <w:rFonts w:cs="Arial"/>
          <w:color w:val="000000"/>
          <w:sz w:val="20"/>
          <w:szCs w:val="20"/>
        </w:rPr>
        <w:t>závaznost ČSN/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 xml:space="preserve">Zákon 458/2000 Sb. </w:t>
      </w:r>
      <w:r w:rsidRPr="006B620C">
        <w:rPr>
          <w:rFonts w:cs="Arial"/>
          <w:b/>
          <w:color w:val="000000"/>
          <w:sz w:val="20"/>
          <w:szCs w:val="20"/>
        </w:rPr>
        <w:t>o podmínkách podnikání a výkonu státní správy v energetických odvětvích a o změně některých zákonů (energetický zákon)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bCs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 xml:space="preserve">Vyhláška 50/1978 Sb. </w:t>
      </w:r>
      <w:r w:rsidRPr="006B620C">
        <w:rPr>
          <w:rFonts w:cs="Arial"/>
          <w:b/>
          <w:bCs/>
          <w:sz w:val="20"/>
          <w:szCs w:val="20"/>
        </w:rPr>
        <w:t>Vyhláška o odborné způsobilosti v elektrotechnice</w:t>
      </w:r>
    </w:p>
    <w:p w:rsidR="002E17ED" w:rsidRPr="006B620C" w:rsidRDefault="002E17ED" w:rsidP="006B620C">
      <w:pPr>
        <w:pStyle w:val="Normal"/>
        <w:jc w:val="both"/>
        <w:rPr>
          <w:rFonts w:ascii="Arial Narrow" w:hAnsi="Arial Narrow"/>
          <w:b/>
        </w:rPr>
      </w:pPr>
      <w:r w:rsidRPr="006B620C">
        <w:rPr>
          <w:rFonts w:ascii="Arial Narrow" w:hAnsi="Arial Narrow"/>
        </w:rPr>
        <w:t xml:space="preserve">Vyhláška č. 51/2006 Sb. </w:t>
      </w:r>
      <w:r w:rsidRPr="006B620C">
        <w:rPr>
          <w:rFonts w:ascii="Arial Narrow" w:hAnsi="Arial Narrow"/>
          <w:b/>
        </w:rPr>
        <w:t>o podmínkách připojení k elektrizační soustavě</w:t>
      </w:r>
    </w:p>
    <w:p w:rsidR="002E17ED" w:rsidRPr="006B620C" w:rsidRDefault="002E17ED" w:rsidP="006B620C">
      <w:pPr>
        <w:pStyle w:val="Normal"/>
        <w:jc w:val="both"/>
        <w:rPr>
          <w:rFonts w:ascii="Arial Narrow" w:hAnsi="Arial Narrow"/>
          <w:b/>
        </w:rPr>
      </w:pPr>
      <w:r w:rsidRPr="006B620C">
        <w:rPr>
          <w:rFonts w:ascii="Arial Narrow" w:hAnsi="Arial Narrow"/>
        </w:rPr>
        <w:t xml:space="preserve">Vyhláška č. 73/2010 Sb. </w:t>
      </w:r>
      <w:r w:rsidRPr="006B620C">
        <w:rPr>
          <w:rFonts w:ascii="Arial Narrow" w:hAnsi="Arial Narrow"/>
          <w:b/>
        </w:rPr>
        <w:t>o stanovení vyhrazených elektrických technických zařízení, jejich zařazení do tříd a skupin a o bližších podmínkách jejich bezpečnosti (vyhláška o vyhrazených elektrických technických zařízeních)</w:t>
      </w:r>
    </w:p>
    <w:p w:rsidR="002E17ED" w:rsidRPr="006B620C" w:rsidRDefault="002E17ED" w:rsidP="006B620C">
      <w:pPr>
        <w:pStyle w:val="Normal"/>
        <w:jc w:val="both"/>
        <w:rPr>
          <w:rFonts w:ascii="Arial Narrow" w:hAnsi="Arial Narrow"/>
          <w:b/>
        </w:rPr>
      </w:pPr>
      <w:r w:rsidRPr="006B620C">
        <w:rPr>
          <w:rFonts w:ascii="Arial Narrow" w:hAnsi="Arial Narrow"/>
        </w:rPr>
        <w:t xml:space="preserve">Nařízení vlády č. 17/2003 Sb., </w:t>
      </w:r>
      <w:r w:rsidRPr="006B620C">
        <w:rPr>
          <w:rFonts w:ascii="Arial Narrow" w:hAnsi="Arial Narrow"/>
          <w:b/>
        </w:rPr>
        <w:t>kterým se stanoví technické požadavky na elektrická zařízení nízkého napětí</w:t>
      </w:r>
    </w:p>
    <w:p w:rsidR="002128D8" w:rsidRDefault="002128D8" w:rsidP="009664F8">
      <w:pPr>
        <w:pStyle w:val="Text"/>
        <w:spacing w:after="0"/>
        <w:rPr>
          <w:sz w:val="20"/>
          <w:szCs w:val="20"/>
          <w:lang w:eastAsia="cs-CZ"/>
        </w:rPr>
      </w:pPr>
    </w:p>
    <w:p w:rsidR="002128D8" w:rsidRPr="002128D8" w:rsidRDefault="00C869EC" w:rsidP="002128D8">
      <w:pPr>
        <w:pStyle w:val="Nadpis10"/>
        <w:keepLines w:val="0"/>
        <w:numPr>
          <w:ilvl w:val="0"/>
          <w:numId w:val="9"/>
        </w:numPr>
        <w:ind w:left="964" w:hanging="964"/>
        <w:rPr>
          <w:sz w:val="28"/>
          <w:szCs w:val="28"/>
        </w:rPr>
      </w:pPr>
      <w:bookmarkStart w:id="13" w:name="_Toc452983308"/>
      <w:bookmarkStart w:id="14" w:name="_Toc452983554"/>
      <w:bookmarkStart w:id="15" w:name="_Toc475535459"/>
      <w:r>
        <w:rPr>
          <w:sz w:val="28"/>
          <w:szCs w:val="28"/>
        </w:rPr>
        <w:t>POPIS TECHNICKÉHO ŘEŠENÍ</w:t>
      </w:r>
      <w:bookmarkEnd w:id="13"/>
      <w:bookmarkEnd w:id="14"/>
      <w:bookmarkEnd w:id="15"/>
    </w:p>
    <w:p w:rsidR="00DE03E0" w:rsidRDefault="00C869EC" w:rsidP="00D32FA8">
      <w:pPr>
        <w:pStyle w:val="Nadpis2"/>
      </w:pPr>
      <w:bookmarkStart w:id="16" w:name="_Toc452983309"/>
      <w:bookmarkStart w:id="17" w:name="_Toc452983555"/>
      <w:bookmarkStart w:id="18" w:name="_Toc475535460"/>
      <w:r>
        <w:t>ZÁKLADNÍ TECHNICKÉ ÚDAJE</w:t>
      </w:r>
      <w:bookmarkEnd w:id="16"/>
      <w:bookmarkEnd w:id="17"/>
      <w:bookmarkEnd w:id="18"/>
    </w:p>
    <w:p w:rsidR="00556394" w:rsidRPr="00171920" w:rsidRDefault="00556394" w:rsidP="00171920">
      <w:pPr>
        <w:pStyle w:val="Zkladntext2"/>
        <w:ind w:left="113" w:hanging="3540"/>
        <w:rPr>
          <w:rFonts w:ascii="Arial Narrow" w:hAnsi="Arial Narrow" w:cs="Arial"/>
          <w:sz w:val="20"/>
        </w:rPr>
      </w:pPr>
      <w:r w:rsidRPr="00171920">
        <w:rPr>
          <w:rFonts w:ascii="Arial Narrow" w:hAnsi="Arial Narrow" w:cs="Arial"/>
          <w:sz w:val="20"/>
        </w:rPr>
        <w:t>N</w:t>
      </w:r>
      <w:r w:rsidR="00171920">
        <w:rPr>
          <w:rFonts w:ascii="Arial Narrow" w:hAnsi="Arial Narrow" w:cs="Arial"/>
          <w:sz w:val="20"/>
        </w:rPr>
        <w:t xml:space="preserve">                                                                </w:t>
      </w:r>
      <w:r w:rsidR="00171920">
        <w:rPr>
          <w:rFonts w:ascii="Arial Narrow" w:hAnsi="Arial Narrow" w:cs="Arial"/>
          <w:sz w:val="20"/>
        </w:rPr>
        <w:tab/>
        <w:t>N</w:t>
      </w:r>
      <w:r w:rsidRPr="00171920">
        <w:rPr>
          <w:rFonts w:ascii="Arial Narrow" w:hAnsi="Arial Narrow" w:cs="Arial"/>
          <w:sz w:val="20"/>
        </w:rPr>
        <w:t>apěťová soustava:</w:t>
      </w:r>
      <w:r w:rsidRPr="00171920">
        <w:rPr>
          <w:rFonts w:ascii="Arial Narrow" w:hAnsi="Arial Narrow" w:cs="Arial"/>
          <w:sz w:val="20"/>
        </w:rPr>
        <w:tab/>
      </w:r>
      <w:r w:rsidR="00171920">
        <w:rPr>
          <w:rFonts w:ascii="Arial Narrow" w:hAnsi="Arial Narrow" w:cs="Arial"/>
          <w:sz w:val="20"/>
        </w:rPr>
        <w:tab/>
      </w:r>
      <w:r w:rsidR="00171920">
        <w:rPr>
          <w:rFonts w:ascii="Arial Narrow" w:hAnsi="Arial Narrow" w:cs="Arial"/>
          <w:sz w:val="20"/>
        </w:rPr>
        <w:tab/>
      </w:r>
      <w:r w:rsidRPr="00171920">
        <w:rPr>
          <w:rFonts w:ascii="Arial Narrow" w:hAnsi="Arial Narrow" w:cs="Arial"/>
          <w:sz w:val="20"/>
        </w:rPr>
        <w:t xml:space="preserve">3  N  PE  stř.,  50 Hz.,  400 V,  TN-S 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Instalovaný příkon 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P</w:t>
      </w:r>
      <w:r w:rsidRPr="00171920">
        <w:rPr>
          <w:rFonts w:cs="Arial"/>
          <w:sz w:val="20"/>
          <w:szCs w:val="20"/>
          <w:vertAlign w:val="subscript"/>
        </w:rPr>
        <w:t>i</w:t>
      </w:r>
      <w:r w:rsidRPr="00171920">
        <w:rPr>
          <w:rFonts w:cs="Arial"/>
          <w:sz w:val="20"/>
          <w:szCs w:val="20"/>
        </w:rPr>
        <w:t xml:space="preserve"> =</w:t>
      </w:r>
      <w:r w:rsidR="004415A4">
        <w:rPr>
          <w:rFonts w:cs="Arial"/>
          <w:sz w:val="20"/>
          <w:szCs w:val="20"/>
        </w:rPr>
        <w:t xml:space="preserve"> </w:t>
      </w:r>
      <w:r w:rsidRPr="00171920">
        <w:rPr>
          <w:rFonts w:cs="Arial"/>
          <w:sz w:val="20"/>
          <w:szCs w:val="20"/>
        </w:rPr>
        <w:t xml:space="preserve"> </w:t>
      </w:r>
      <w:r w:rsidR="0023663D">
        <w:rPr>
          <w:rFonts w:cs="Arial"/>
          <w:sz w:val="20"/>
          <w:szCs w:val="20"/>
        </w:rPr>
        <w:t>stávající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Stávající součas. příkon 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P</w:t>
      </w:r>
      <w:r w:rsidRPr="00171920">
        <w:rPr>
          <w:rFonts w:cs="Arial"/>
          <w:sz w:val="20"/>
          <w:szCs w:val="20"/>
          <w:vertAlign w:val="subscript"/>
        </w:rPr>
        <w:t>s</w:t>
      </w:r>
      <w:r w:rsidRPr="00171920">
        <w:rPr>
          <w:rFonts w:cs="Arial"/>
          <w:sz w:val="20"/>
          <w:szCs w:val="20"/>
        </w:rPr>
        <w:t xml:space="preserve"> = </w:t>
      </w:r>
      <w:r w:rsidR="0023663D">
        <w:rPr>
          <w:rFonts w:cs="Arial"/>
          <w:sz w:val="20"/>
          <w:szCs w:val="20"/>
        </w:rPr>
        <w:t>stávající</w:t>
      </w:r>
      <w:r w:rsidRPr="00171920">
        <w:rPr>
          <w:rFonts w:cs="Arial"/>
          <w:sz w:val="20"/>
          <w:szCs w:val="20"/>
        </w:rPr>
        <w:t xml:space="preserve"> 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Zkratový proud: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I</w:t>
      </w:r>
      <w:r w:rsidRPr="00171920">
        <w:rPr>
          <w:rFonts w:cs="Arial"/>
          <w:sz w:val="20"/>
          <w:szCs w:val="20"/>
          <w:vertAlign w:val="subscript"/>
        </w:rPr>
        <w:t>km</w:t>
      </w:r>
      <w:r w:rsidRPr="00171920">
        <w:rPr>
          <w:rFonts w:cs="Arial"/>
          <w:sz w:val="20"/>
          <w:szCs w:val="20"/>
        </w:rPr>
        <w:t xml:space="preserve"> = max 10 kA 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Úbytek napětí: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5 %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Vnější vlivy: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viz protokol, AB8 venkovní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Ochrana před úrazem el. proudem ve smyslu ČSN 33 2000 – 4 – 41, ed. 2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  <w:u w:val="single"/>
        </w:rPr>
      </w:pPr>
      <w:r w:rsidRPr="00171920">
        <w:rPr>
          <w:rFonts w:cs="Arial"/>
          <w:snapToGrid w:val="0"/>
          <w:sz w:val="20"/>
          <w:szCs w:val="20"/>
        </w:rPr>
        <w:t xml:space="preserve">u NN zařízení </w:t>
      </w:r>
      <w:r w:rsidRPr="00171920">
        <w:rPr>
          <w:rFonts w:cs="Arial"/>
          <w:snapToGrid w:val="0"/>
          <w:sz w:val="20"/>
          <w:szCs w:val="20"/>
          <w:u w:val="single"/>
        </w:rPr>
        <w:t>automatickým odpojením od zdroje čl. 411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 xml:space="preserve">- Základní ochrana  : 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 xml:space="preserve"> -základní izolací živých částí nebo přepážkami nebo kryty viz předmětné přílohy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- ochrana při poruše je zajištěna ochranným uzemněním a pospojováním a automatickým odpojením v případě poruchy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  <w:u w:val="single"/>
        </w:rPr>
      </w:pP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  <w:u w:val="single"/>
        </w:rPr>
      </w:pPr>
      <w:r w:rsidRPr="00171920">
        <w:rPr>
          <w:rFonts w:cs="Arial"/>
          <w:snapToGrid w:val="0"/>
          <w:sz w:val="20"/>
          <w:szCs w:val="20"/>
          <w:u w:val="single"/>
        </w:rPr>
        <w:t>Doplňková ochrana: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-doplňující ochranné pospojování, pásek FeZn 30/4 veden ke každému sloupu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-proudovým chráničem s rozdílovým proudem 0,03A</w:t>
      </w:r>
    </w:p>
    <w:p w:rsidR="00556394" w:rsidRPr="00171920" w:rsidRDefault="00556394" w:rsidP="00171920">
      <w:pPr>
        <w:pStyle w:val="Zhlav"/>
        <w:spacing w:line="240" w:lineRule="atLeast"/>
        <w:ind w:left="113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Dimenzování ochranných vodičů musí být provedeno dle ČSN 33 2000-5-54 čl.543.1 a čl.547.1.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Stupeň dodávky el. energie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Dle ČSN 34 16 10: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č. 2 – zařízení napájená z DA</w:t>
      </w:r>
    </w:p>
    <w:p w:rsidR="00556394" w:rsidRPr="00171920" w:rsidRDefault="008A3EA9" w:rsidP="005563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</w:t>
      </w:r>
      <w:r w:rsidR="00556394" w:rsidRPr="00171920">
        <w:rPr>
          <w:rFonts w:cs="Arial"/>
          <w:sz w:val="20"/>
          <w:szCs w:val="20"/>
        </w:rPr>
        <w:t>Zemnicí pásek FeZn 30/4 mm veden ke každému osvětlovacímu sloupu, dále bude propojen se zemnicí soustavou ZS.</w:t>
      </w:r>
    </w:p>
    <w:p w:rsidR="00C869EC" w:rsidRPr="00B75E67" w:rsidRDefault="00C869EC" w:rsidP="00B75E67">
      <w:pPr>
        <w:pStyle w:val="Text"/>
        <w:spacing w:after="0"/>
        <w:rPr>
          <w:sz w:val="20"/>
          <w:szCs w:val="20"/>
          <w:lang w:eastAsia="cs-CZ"/>
        </w:rPr>
      </w:pPr>
    </w:p>
    <w:p w:rsidR="00C869EC" w:rsidRDefault="00C869EC" w:rsidP="00D32FA8">
      <w:pPr>
        <w:pStyle w:val="Nadpis2"/>
      </w:pPr>
      <w:bookmarkStart w:id="19" w:name="_Toc452983310"/>
      <w:bookmarkStart w:id="20" w:name="_Toc452983556"/>
      <w:bookmarkStart w:id="21" w:name="_Toc475535461"/>
      <w:r>
        <w:lastRenderedPageBreak/>
        <w:t>ENERGETICKÁ BILANC</w:t>
      </w:r>
      <w:r w:rsidR="004C79CE">
        <w:t>E</w:t>
      </w:r>
      <w:bookmarkEnd w:id="19"/>
      <w:bookmarkEnd w:id="20"/>
      <w:bookmarkEnd w:id="21"/>
    </w:p>
    <w:p w:rsidR="004C79CE" w:rsidRDefault="004F671E" w:rsidP="00375306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Instalovaný výkon </w:t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  <w:t>-</w:t>
      </w:r>
      <w:r w:rsidR="002B3AC7">
        <w:rPr>
          <w:sz w:val="20"/>
          <w:szCs w:val="20"/>
          <w:lang w:eastAsia="cs-CZ"/>
        </w:rPr>
        <w:t xml:space="preserve"> kW</w:t>
      </w:r>
      <w:r>
        <w:rPr>
          <w:sz w:val="20"/>
          <w:szCs w:val="20"/>
          <w:lang w:eastAsia="cs-CZ"/>
        </w:rPr>
        <w:t>, stávající</w:t>
      </w:r>
    </w:p>
    <w:p w:rsidR="0046785D" w:rsidRPr="001342CF" w:rsidRDefault="0046785D" w:rsidP="0046785D">
      <w:pPr>
        <w:pStyle w:val="Text"/>
        <w:spacing w:after="0"/>
        <w:rPr>
          <w:sz w:val="20"/>
          <w:szCs w:val="20"/>
          <w:lang w:eastAsia="cs-CZ"/>
        </w:rPr>
      </w:pPr>
    </w:p>
    <w:p w:rsidR="004C38BC" w:rsidRPr="009664F8" w:rsidRDefault="004C38BC" w:rsidP="00F34EC3">
      <w:pPr>
        <w:pStyle w:val="Nadpis10"/>
        <w:keepLines w:val="0"/>
        <w:numPr>
          <w:ilvl w:val="0"/>
          <w:numId w:val="9"/>
        </w:numPr>
        <w:ind w:left="851" w:hanging="964"/>
        <w:rPr>
          <w:sz w:val="28"/>
          <w:szCs w:val="28"/>
        </w:rPr>
      </w:pPr>
      <w:bookmarkStart w:id="22" w:name="_Toc452983316"/>
      <w:bookmarkStart w:id="23" w:name="_Toc452983562"/>
      <w:bookmarkStart w:id="24" w:name="_Toc475535462"/>
      <w:r>
        <w:rPr>
          <w:sz w:val="28"/>
          <w:szCs w:val="28"/>
        </w:rPr>
        <w:t>TECHNICKÝ POPIS</w:t>
      </w:r>
      <w:bookmarkEnd w:id="22"/>
      <w:bookmarkEnd w:id="23"/>
      <w:bookmarkEnd w:id="24"/>
    </w:p>
    <w:p w:rsidR="004C38BC" w:rsidRDefault="00355635" w:rsidP="00D32FA8">
      <w:pPr>
        <w:pStyle w:val="Nadpis2"/>
        <w:rPr>
          <w:caps w:val="0"/>
        </w:rPr>
      </w:pPr>
      <w:bookmarkStart w:id="25" w:name="_Toc475535463"/>
      <w:r>
        <w:t>přeložka a rušenÉ</w:t>
      </w:r>
      <w:bookmarkStart w:id="26" w:name="_GoBack"/>
      <w:bookmarkEnd w:id="26"/>
      <w:r w:rsidR="002D378F">
        <w:t xml:space="preserve"> vo</w:t>
      </w:r>
      <w:bookmarkEnd w:id="25"/>
    </w:p>
    <w:p w:rsidR="00B324D7" w:rsidRDefault="002D378F" w:rsidP="002D378F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Dle výkresové dokumentace budou rušeny označené tra</w:t>
      </w:r>
      <w:r w:rsidR="0023663D">
        <w:rPr>
          <w:rFonts w:ascii="Arial Narrow" w:hAnsi="Arial Narrow"/>
          <w:kern w:val="0"/>
        </w:rPr>
        <w:t>sy stávajícího VO vč. osvětlovacích bodů OB</w:t>
      </w:r>
      <w:r>
        <w:rPr>
          <w:rFonts w:ascii="Arial Narrow" w:hAnsi="Arial Narrow"/>
          <w:kern w:val="0"/>
        </w:rPr>
        <w:t>, které zasahují do výstavby budovy „A“. VO</w:t>
      </w:r>
      <w:r w:rsidR="0023663D">
        <w:rPr>
          <w:rFonts w:ascii="Arial Narrow" w:hAnsi="Arial Narrow"/>
          <w:kern w:val="0"/>
        </w:rPr>
        <w:t xml:space="preserve"> stávající</w:t>
      </w:r>
      <w:r>
        <w:rPr>
          <w:rFonts w:ascii="Arial Narrow" w:hAnsi="Arial Narrow"/>
          <w:kern w:val="0"/>
        </w:rPr>
        <w:t xml:space="preserve"> osvětlení bude nahrazeno </w:t>
      </w:r>
      <w:r w:rsidR="0023663D">
        <w:rPr>
          <w:rFonts w:ascii="Arial Narrow" w:hAnsi="Arial Narrow"/>
          <w:kern w:val="0"/>
        </w:rPr>
        <w:t xml:space="preserve">osvětlením novým - </w:t>
      </w:r>
      <w:r>
        <w:rPr>
          <w:rFonts w:ascii="Arial Narrow" w:hAnsi="Arial Narrow"/>
          <w:kern w:val="0"/>
        </w:rPr>
        <w:t>viz část „Nové VO“. Osvětlovací body, které nezasahují do výstavby budovy „A“</w:t>
      </w:r>
      <w:r w:rsidR="006C536D">
        <w:rPr>
          <w:rFonts w:ascii="Arial Narrow" w:hAnsi="Arial Narrow"/>
          <w:kern w:val="0"/>
        </w:rPr>
        <w:t>,</w:t>
      </w:r>
      <w:r>
        <w:rPr>
          <w:rFonts w:ascii="Arial Narrow" w:hAnsi="Arial Narrow"/>
          <w:kern w:val="0"/>
        </w:rPr>
        <w:t xml:space="preserve"> budou nově napojeny kabelovými přívody</w:t>
      </w:r>
      <w:r w:rsidR="002E28BC">
        <w:rPr>
          <w:rFonts w:ascii="Arial Narrow" w:hAnsi="Arial Narrow"/>
          <w:kern w:val="0"/>
        </w:rPr>
        <w:t xml:space="preserve">, ve výkresové dokumentaci </w:t>
      </w:r>
      <w:r w:rsidR="00C677F5">
        <w:rPr>
          <w:rFonts w:ascii="Arial Narrow" w:hAnsi="Arial Narrow"/>
          <w:kern w:val="0"/>
        </w:rPr>
        <w:t>jsou tyto dvě trasy označeny</w:t>
      </w:r>
      <w:r w:rsidR="002E28BC">
        <w:rPr>
          <w:rFonts w:ascii="Arial Narrow" w:hAnsi="Arial Narrow"/>
          <w:kern w:val="0"/>
        </w:rPr>
        <w:t xml:space="preserve"> VO I a VO II</w:t>
      </w:r>
      <w:r w:rsidR="00C677F5">
        <w:rPr>
          <w:rFonts w:ascii="Arial Narrow" w:hAnsi="Arial Narrow"/>
          <w:kern w:val="0"/>
        </w:rPr>
        <w:t>. B</w:t>
      </w:r>
      <w:r>
        <w:rPr>
          <w:rFonts w:ascii="Arial Narrow" w:hAnsi="Arial Narrow"/>
          <w:kern w:val="0"/>
        </w:rPr>
        <w:t>udou vycházet ze zapínacího bodu, viz část „Nové VO“. Trasy budou taženy ve výkopu dle řezů</w:t>
      </w:r>
      <w:r w:rsidR="00F20A0A">
        <w:rPr>
          <w:rFonts w:ascii="Arial Narrow" w:hAnsi="Arial Narrow"/>
          <w:kern w:val="0"/>
        </w:rPr>
        <w:t>,</w:t>
      </w:r>
      <w:r>
        <w:rPr>
          <w:rFonts w:ascii="Arial Narrow" w:hAnsi="Arial Narrow"/>
          <w:kern w:val="0"/>
        </w:rPr>
        <w:t xml:space="preserve"> kabely 5Cx16 mm</w:t>
      </w:r>
      <w:r>
        <w:rPr>
          <w:rFonts w:ascii="Arial Narrow" w:hAnsi="Arial Narrow"/>
          <w:kern w:val="0"/>
          <w:vertAlign w:val="superscript"/>
        </w:rPr>
        <w:t>2</w:t>
      </w:r>
      <w:r>
        <w:rPr>
          <w:rFonts w:ascii="Arial Narrow" w:hAnsi="Arial Narrow"/>
          <w:kern w:val="0"/>
        </w:rPr>
        <w:t xml:space="preserve"> </w:t>
      </w:r>
      <w:r w:rsidR="00F20A0A">
        <w:rPr>
          <w:rFonts w:ascii="Arial Narrow" w:hAnsi="Arial Narrow"/>
          <w:kern w:val="0"/>
        </w:rPr>
        <w:t xml:space="preserve">a </w:t>
      </w:r>
      <w:r>
        <w:rPr>
          <w:rFonts w:ascii="Arial Narrow" w:hAnsi="Arial Narrow"/>
          <w:kern w:val="0"/>
        </w:rPr>
        <w:t>sp</w:t>
      </w:r>
      <w:r w:rsidR="007247A0">
        <w:rPr>
          <w:rFonts w:ascii="Arial Narrow" w:hAnsi="Arial Narrow"/>
          <w:kern w:val="0"/>
        </w:rPr>
        <w:t xml:space="preserve">olečně s páskem FeZn 30/4 mm, který </w:t>
      </w:r>
      <w:r>
        <w:rPr>
          <w:rFonts w:ascii="Arial Narrow" w:hAnsi="Arial Narrow"/>
          <w:kern w:val="0"/>
        </w:rPr>
        <w:t xml:space="preserve">bude uložen do </w:t>
      </w:r>
      <w:r w:rsidR="00EE4FB6">
        <w:rPr>
          <w:rFonts w:ascii="Arial Narrow" w:hAnsi="Arial Narrow"/>
          <w:kern w:val="0"/>
        </w:rPr>
        <w:t>betonové vrstvy na výšku. Beton přesahuje vnější okraje pásku minimálně o 5</w:t>
      </w:r>
      <w:r w:rsidR="006C536D">
        <w:rPr>
          <w:rFonts w:ascii="Arial Narrow" w:hAnsi="Arial Narrow"/>
          <w:kern w:val="0"/>
        </w:rPr>
        <w:t xml:space="preserve"> </w:t>
      </w:r>
      <w:r w:rsidR="00EE4FB6">
        <w:rPr>
          <w:rFonts w:ascii="Arial Narrow" w:hAnsi="Arial Narrow"/>
          <w:kern w:val="0"/>
        </w:rPr>
        <w:t xml:space="preserve">cm na každou stranu. </w:t>
      </w:r>
      <w:r w:rsidR="009731FF">
        <w:rPr>
          <w:rFonts w:ascii="Arial Narrow" w:hAnsi="Arial Narrow"/>
          <w:kern w:val="0"/>
        </w:rPr>
        <w:t>Kabel</w:t>
      </w:r>
      <w:r w:rsidR="00ED27DB">
        <w:rPr>
          <w:rFonts w:ascii="Arial Narrow" w:hAnsi="Arial Narrow"/>
          <w:kern w:val="0"/>
        </w:rPr>
        <w:t>y budou</w:t>
      </w:r>
      <w:r w:rsidR="009731FF">
        <w:rPr>
          <w:rFonts w:ascii="Arial Narrow" w:hAnsi="Arial Narrow"/>
          <w:kern w:val="0"/>
        </w:rPr>
        <w:t xml:space="preserve"> jištěn</w:t>
      </w:r>
      <w:r w:rsidR="00ED27DB">
        <w:rPr>
          <w:rFonts w:ascii="Arial Narrow" w:hAnsi="Arial Narrow"/>
          <w:kern w:val="0"/>
        </w:rPr>
        <w:t>y</w:t>
      </w:r>
      <w:r w:rsidR="009731FF">
        <w:rPr>
          <w:rFonts w:ascii="Arial Narrow" w:hAnsi="Arial Narrow"/>
          <w:kern w:val="0"/>
        </w:rPr>
        <w:t xml:space="preserve"> v zapínacím </w:t>
      </w:r>
      <w:r w:rsidR="00BD3E78">
        <w:rPr>
          <w:rFonts w:ascii="Arial Narrow" w:hAnsi="Arial Narrow"/>
          <w:kern w:val="0"/>
        </w:rPr>
        <w:t xml:space="preserve">bodu </w:t>
      </w:r>
      <w:r w:rsidR="002E28BC">
        <w:rPr>
          <w:rFonts w:ascii="Arial Narrow" w:hAnsi="Arial Narrow"/>
          <w:kern w:val="0"/>
        </w:rPr>
        <w:t>10A/C/400V a FI</w:t>
      </w:r>
      <w:r w:rsidR="00BD3E78">
        <w:rPr>
          <w:rFonts w:ascii="Arial Narrow" w:hAnsi="Arial Narrow"/>
          <w:kern w:val="0"/>
        </w:rPr>
        <w:t xml:space="preserve"> 0,03A.</w:t>
      </w:r>
      <w:r w:rsidR="00965E55">
        <w:rPr>
          <w:rFonts w:ascii="Arial Narrow" w:hAnsi="Arial Narrow"/>
          <w:kern w:val="0"/>
        </w:rPr>
        <w:t xml:space="preserve"> V místě pojezdu techniky budou kabely chráněny trubkami KOPODUR.</w:t>
      </w:r>
    </w:p>
    <w:p w:rsidR="00C677F5" w:rsidRDefault="00ED27DB" w:rsidP="002D378F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U prvních sloupů</w:t>
      </w:r>
      <w:r w:rsidR="00B559DC">
        <w:rPr>
          <w:rFonts w:ascii="Arial Narrow" w:hAnsi="Arial Narrow"/>
          <w:kern w:val="0"/>
        </w:rPr>
        <w:t xml:space="preserve"> každé trasy</w:t>
      </w:r>
      <w:r w:rsidR="0029293F">
        <w:rPr>
          <w:rFonts w:ascii="Arial Narrow" w:hAnsi="Arial Narrow"/>
          <w:kern w:val="0"/>
        </w:rPr>
        <w:t xml:space="preserve"> /označeny ve výkresové dokumentaci ST1 a ST2/</w:t>
      </w:r>
      <w:r>
        <w:rPr>
          <w:rFonts w:ascii="Arial Narrow" w:hAnsi="Arial Narrow"/>
          <w:kern w:val="0"/>
        </w:rPr>
        <w:t>, které budou</w:t>
      </w:r>
      <w:r w:rsidR="002B3AC7">
        <w:rPr>
          <w:rFonts w:ascii="Arial Narrow" w:hAnsi="Arial Narrow"/>
          <w:kern w:val="0"/>
        </w:rPr>
        <w:t xml:space="preserve"> nově napojen</w:t>
      </w:r>
      <w:r>
        <w:rPr>
          <w:rFonts w:ascii="Arial Narrow" w:hAnsi="Arial Narrow"/>
          <w:kern w:val="0"/>
        </w:rPr>
        <w:t>y</w:t>
      </w:r>
      <w:r w:rsidR="00F20A0A">
        <w:rPr>
          <w:rFonts w:ascii="Arial Narrow" w:hAnsi="Arial Narrow"/>
          <w:kern w:val="0"/>
        </w:rPr>
        <w:t>,</w:t>
      </w:r>
      <w:r w:rsidR="00B559DC">
        <w:rPr>
          <w:rFonts w:ascii="Arial Narrow" w:hAnsi="Arial Narrow"/>
          <w:kern w:val="0"/>
        </w:rPr>
        <w:t xml:space="preserve"> bude ve stávajícím stožáru nahrazena stávající el. výbava novou</w:t>
      </w:r>
      <w:r w:rsidR="00D80287">
        <w:rPr>
          <w:rFonts w:ascii="Arial Narrow" w:hAnsi="Arial Narrow"/>
          <w:kern w:val="0"/>
        </w:rPr>
        <w:t xml:space="preserve"> standardu „Bečov“</w:t>
      </w:r>
      <w:r w:rsidR="002E28BC">
        <w:rPr>
          <w:rFonts w:ascii="Arial Narrow" w:hAnsi="Arial Narrow"/>
          <w:kern w:val="0"/>
        </w:rPr>
        <w:t>. Kabel CYKY 5Jx16 mm</w:t>
      </w:r>
      <w:r w:rsidR="002E28BC">
        <w:rPr>
          <w:rFonts w:ascii="Arial Narrow" w:hAnsi="Arial Narrow"/>
          <w:kern w:val="0"/>
          <w:vertAlign w:val="superscript"/>
        </w:rPr>
        <w:t>2</w:t>
      </w:r>
      <w:r w:rsidR="002E28BC">
        <w:rPr>
          <w:rFonts w:ascii="Arial Narrow" w:hAnsi="Arial Narrow"/>
          <w:kern w:val="0"/>
        </w:rPr>
        <w:t xml:space="preserve"> bude veden na pojistku 400V/xA, kde její hodnota bude řešena dle skutečného kabelu stávajícíh</w:t>
      </w:r>
      <w:r>
        <w:rPr>
          <w:rFonts w:ascii="Arial Narrow" w:hAnsi="Arial Narrow"/>
          <w:kern w:val="0"/>
        </w:rPr>
        <w:t>o osvětlovacího okruhu</w:t>
      </w:r>
      <w:r w:rsidR="002E28BC">
        <w:rPr>
          <w:rFonts w:ascii="Arial Narrow" w:hAnsi="Arial Narrow"/>
          <w:kern w:val="0"/>
        </w:rPr>
        <w:t>.</w:t>
      </w:r>
      <w:r w:rsidR="00C677F5">
        <w:rPr>
          <w:rFonts w:ascii="Arial Narrow" w:hAnsi="Arial Narrow"/>
          <w:kern w:val="0"/>
        </w:rPr>
        <w:t xml:space="preserve"> </w:t>
      </w:r>
      <w:r w:rsidR="0029293F">
        <w:rPr>
          <w:rFonts w:ascii="Arial Narrow" w:hAnsi="Arial Narrow"/>
          <w:kern w:val="0"/>
        </w:rPr>
        <w:t>Dále bude obsahovat ji</w:t>
      </w:r>
      <w:r w:rsidR="00C677F5">
        <w:rPr>
          <w:rFonts w:ascii="Arial Narrow" w:hAnsi="Arial Narrow"/>
          <w:kern w:val="0"/>
        </w:rPr>
        <w:t>štění pro osvětlovací těleso OB</w:t>
      </w:r>
      <w:r w:rsidR="009731FF">
        <w:rPr>
          <w:rFonts w:ascii="Arial Narrow" w:hAnsi="Arial Narrow"/>
          <w:kern w:val="0"/>
        </w:rPr>
        <w:t xml:space="preserve">. </w:t>
      </w:r>
    </w:p>
    <w:p w:rsidR="00C677F5" w:rsidRDefault="00C677F5" w:rsidP="00673572">
      <w:pPr>
        <w:pStyle w:val="ElektroNormln"/>
        <w:spacing w:after="0"/>
        <w:rPr>
          <w:rFonts w:ascii="Arial Narrow" w:hAnsi="Arial Narrow"/>
          <w:b/>
          <w:kern w:val="0"/>
        </w:rPr>
      </w:pPr>
    </w:p>
    <w:p w:rsidR="00D32FA8" w:rsidRPr="00D32FA8" w:rsidRDefault="00D32FA8" w:rsidP="00495DBB">
      <w:pPr>
        <w:pStyle w:val="Nadpis2"/>
      </w:pPr>
      <w:bookmarkStart w:id="27" w:name="_Toc452983322"/>
      <w:bookmarkStart w:id="28" w:name="_Toc452983569"/>
      <w:bookmarkStart w:id="29" w:name="_Toc475535464"/>
      <w:r w:rsidRPr="00D32FA8">
        <w:t>REVIZE</w:t>
      </w:r>
      <w:bookmarkEnd w:id="27"/>
      <w:bookmarkEnd w:id="28"/>
      <w:bookmarkEnd w:id="29"/>
    </w:p>
    <w:p w:rsidR="00F66CDC" w:rsidRPr="00853406" w:rsidRDefault="00412AA5" w:rsidP="00F66CDC">
      <w:pPr>
        <w:pStyle w:val="Text"/>
        <w:spacing w:after="0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Po skončení všech </w:t>
      </w:r>
      <w:r w:rsidR="00131C04">
        <w:rPr>
          <w:sz w:val="20"/>
          <w:szCs w:val="20"/>
          <w:lang w:eastAsia="cs-CZ"/>
        </w:rPr>
        <w:t>prací je na</w:t>
      </w:r>
      <w:r w:rsidR="00A3163A">
        <w:rPr>
          <w:sz w:val="20"/>
          <w:szCs w:val="20"/>
          <w:lang w:eastAsia="cs-CZ"/>
        </w:rPr>
        <w:t xml:space="preserve"> zařízení nutné provést výchozí revizi.</w:t>
      </w:r>
    </w:p>
    <w:p w:rsidR="00C869EC" w:rsidRDefault="00C869EC" w:rsidP="00C869EC">
      <w:pPr>
        <w:pStyle w:val="Text"/>
        <w:rPr>
          <w:lang w:eastAsia="cs-CZ"/>
        </w:rPr>
      </w:pPr>
    </w:p>
    <w:p w:rsidR="00853406" w:rsidRDefault="00853406" w:rsidP="00C869EC">
      <w:pPr>
        <w:pStyle w:val="Text"/>
        <w:rPr>
          <w:lang w:eastAsia="cs-CZ"/>
        </w:rPr>
      </w:pPr>
    </w:p>
    <w:p w:rsidR="00C869EC" w:rsidRPr="00C869EC" w:rsidRDefault="00C869EC" w:rsidP="00C869EC">
      <w:pPr>
        <w:pStyle w:val="Text"/>
        <w:rPr>
          <w:lang w:eastAsia="cs-CZ"/>
        </w:rPr>
      </w:pPr>
    </w:p>
    <w:p w:rsidR="00DE03E0" w:rsidRPr="00DE03E0" w:rsidRDefault="00DE03E0" w:rsidP="00DE03E0">
      <w:pPr>
        <w:pStyle w:val="Text"/>
        <w:rPr>
          <w:lang w:eastAsia="cs-CZ"/>
        </w:rPr>
      </w:pPr>
    </w:p>
    <w:p w:rsidR="00DE03E0" w:rsidRPr="00DE03E0" w:rsidRDefault="00DE03E0" w:rsidP="00DE03E0">
      <w:pPr>
        <w:pStyle w:val="Text"/>
        <w:rPr>
          <w:lang w:eastAsia="cs-CZ"/>
        </w:rPr>
      </w:pPr>
    </w:p>
    <w:p w:rsidR="00DE03E0" w:rsidRDefault="00DE03E0" w:rsidP="00DE03E0">
      <w:pPr>
        <w:pStyle w:val="Text"/>
        <w:rPr>
          <w:lang w:eastAsia="cs-CZ"/>
        </w:rPr>
      </w:pPr>
    </w:p>
    <w:p w:rsidR="00DE03E0" w:rsidRDefault="00DE03E0" w:rsidP="00DE03E0">
      <w:pPr>
        <w:pStyle w:val="Text"/>
        <w:rPr>
          <w:lang w:eastAsia="cs-CZ"/>
        </w:rPr>
      </w:pPr>
    </w:p>
    <w:sectPr w:rsidR="00DE03E0" w:rsidSect="00C419DB">
      <w:headerReference w:type="default" r:id="rId8"/>
      <w:footerReference w:type="default" r:id="rId9"/>
      <w:pgSz w:w="11906" w:h="16838" w:code="9"/>
      <w:pgMar w:top="1361" w:right="1021" w:bottom="1361" w:left="102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5B3" w:rsidRDefault="00B255B3" w:rsidP="00D23ED4">
      <w:pPr>
        <w:spacing w:after="0" w:line="240" w:lineRule="auto"/>
      </w:pPr>
      <w:r>
        <w:separator/>
      </w:r>
    </w:p>
  </w:endnote>
  <w:endnote w:type="continuationSeparator" w:id="0">
    <w:p w:rsidR="00B255B3" w:rsidRDefault="00B255B3" w:rsidP="00D2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30303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B255B3" w:rsidRPr="00AD655A" w:rsidRDefault="00B255B3" w:rsidP="00AD655A">
        <w:pPr>
          <w:pStyle w:val="Zpat"/>
          <w:jc w:val="center"/>
          <w:rPr>
            <w:sz w:val="18"/>
            <w:szCs w:val="18"/>
          </w:rPr>
        </w:pPr>
        <w:r w:rsidRPr="00AD655A">
          <w:rPr>
            <w:sz w:val="18"/>
            <w:szCs w:val="18"/>
          </w:rPr>
          <w:fldChar w:fldCharType="begin"/>
        </w:r>
        <w:r w:rsidRPr="00AD655A">
          <w:rPr>
            <w:sz w:val="18"/>
            <w:szCs w:val="18"/>
          </w:rPr>
          <w:instrText>PAGE   \* MERGEFORMAT</w:instrText>
        </w:r>
        <w:r w:rsidRPr="00AD655A">
          <w:rPr>
            <w:sz w:val="18"/>
            <w:szCs w:val="18"/>
          </w:rPr>
          <w:fldChar w:fldCharType="separate"/>
        </w:r>
        <w:r w:rsidR="00355635">
          <w:rPr>
            <w:noProof/>
            <w:sz w:val="18"/>
            <w:szCs w:val="18"/>
          </w:rPr>
          <w:t>3</w:t>
        </w:r>
        <w:r w:rsidRPr="00AD655A">
          <w:rPr>
            <w:sz w:val="18"/>
            <w:szCs w:val="18"/>
          </w:rPr>
          <w:fldChar w:fldCharType="end"/>
        </w:r>
      </w:p>
    </w:sdtContent>
  </w:sdt>
  <w:p w:rsidR="00B255B3" w:rsidRDefault="00B255B3" w:rsidP="00AD65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5B3" w:rsidRDefault="00B255B3" w:rsidP="00D23ED4">
      <w:pPr>
        <w:spacing w:after="0" w:line="240" w:lineRule="auto"/>
      </w:pPr>
      <w:r>
        <w:separator/>
      </w:r>
    </w:p>
  </w:footnote>
  <w:footnote w:type="continuationSeparator" w:id="0">
    <w:p w:rsidR="00B255B3" w:rsidRDefault="00B255B3" w:rsidP="00D23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5B3" w:rsidRDefault="00B255B3" w:rsidP="00FE425E">
    <w:pPr>
      <w:pStyle w:val="Zhlav"/>
      <w:jc w:val="right"/>
    </w:pPr>
    <w:r>
      <w:rPr>
        <w:noProof/>
        <w:lang w:eastAsia="cs-CZ"/>
      </w:rPr>
      <w:drawing>
        <wp:inline distT="0" distB="0" distL="0" distR="0">
          <wp:extent cx="2160000" cy="372069"/>
          <wp:effectExtent l="0" t="0" r="0" b="9525"/>
          <wp:docPr id="1" name="Obrázek 1" descr="T:\51_MARKETING\99_PUBLIC\logo_graficky_manual\Obermeyer HELIKA a.s\obermeyer_heli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51_MARKETING\99_PUBLIC\logo_graficky_manual\Obermeyer HELIKA a.s\obermeyer_heli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372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32AD"/>
    <w:multiLevelType w:val="singleLevel"/>
    <w:tmpl w:val="CCE8757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07E46D50"/>
    <w:multiLevelType w:val="multilevel"/>
    <w:tmpl w:val="D15A07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465E6E"/>
    <w:multiLevelType w:val="singleLevel"/>
    <w:tmpl w:val="6970708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" w15:restartNumberingAfterBreak="0">
    <w:nsid w:val="1FD014A8"/>
    <w:multiLevelType w:val="hybridMultilevel"/>
    <w:tmpl w:val="261EA27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36C310B"/>
    <w:multiLevelType w:val="singleLevel"/>
    <w:tmpl w:val="3A38FC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B5B7D63"/>
    <w:multiLevelType w:val="hybridMultilevel"/>
    <w:tmpl w:val="1646F4EC"/>
    <w:lvl w:ilvl="0" w:tplc="048A9C58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C64B7C"/>
    <w:multiLevelType w:val="hybridMultilevel"/>
    <w:tmpl w:val="4A6C72C8"/>
    <w:lvl w:ilvl="0" w:tplc="4238EA6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24545"/>
    <w:multiLevelType w:val="hybridMultilevel"/>
    <w:tmpl w:val="298E813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74E83"/>
    <w:multiLevelType w:val="hybridMultilevel"/>
    <w:tmpl w:val="75E69D06"/>
    <w:lvl w:ilvl="0" w:tplc="00AAF362">
      <w:start w:val="3"/>
      <w:numFmt w:val="upperLetter"/>
      <w:pStyle w:val="NadpisA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numFmt w:val="bullet"/>
      <w:lvlText w:val="-"/>
      <w:lvlJc w:val="left"/>
      <w:pPr>
        <w:tabs>
          <w:tab w:val="num" w:pos="4485"/>
        </w:tabs>
        <w:ind w:left="4485" w:hanging="705"/>
      </w:pPr>
      <w:rPr>
        <w:rFonts w:ascii="Arial" w:eastAsia="Times New Roman" w:hAnsi="Arial" w:cs="Arial" w:hint="default"/>
      </w:rPr>
    </w:lvl>
    <w:lvl w:ilvl="6" w:tplc="54AEFC78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ED457C3"/>
    <w:multiLevelType w:val="multilevel"/>
    <w:tmpl w:val="2638A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F5D5B67"/>
    <w:multiLevelType w:val="hybridMultilevel"/>
    <w:tmpl w:val="17B843AE"/>
    <w:lvl w:ilvl="0" w:tplc="D19837C6">
      <w:start w:val="1"/>
      <w:numFmt w:val="decimal"/>
      <w:pStyle w:val="Nadpis20"/>
      <w:lvlText w:val="%1.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10038"/>
    <w:multiLevelType w:val="hybridMultilevel"/>
    <w:tmpl w:val="1C38E734"/>
    <w:lvl w:ilvl="0" w:tplc="13C8424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93D63"/>
    <w:multiLevelType w:val="hybridMultilevel"/>
    <w:tmpl w:val="843C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26F8F"/>
    <w:multiLevelType w:val="hybridMultilevel"/>
    <w:tmpl w:val="331AC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7771A"/>
    <w:multiLevelType w:val="hybridMultilevel"/>
    <w:tmpl w:val="EE06E796"/>
    <w:lvl w:ilvl="0" w:tplc="97ECE82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A5943"/>
    <w:multiLevelType w:val="hybridMultilevel"/>
    <w:tmpl w:val="5A38AB1C"/>
    <w:lvl w:ilvl="0" w:tplc="ACF02758">
      <w:start w:val="1"/>
      <w:numFmt w:val="decimal"/>
      <w:pStyle w:val="Nadpis10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74257"/>
    <w:multiLevelType w:val="hybridMultilevel"/>
    <w:tmpl w:val="4C5019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970A4"/>
    <w:multiLevelType w:val="hybridMultilevel"/>
    <w:tmpl w:val="130E5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F786B"/>
    <w:multiLevelType w:val="multilevel"/>
    <w:tmpl w:val="4EEE7384"/>
    <w:lvl w:ilvl="0">
      <w:start w:val="1"/>
      <w:numFmt w:val="decimal"/>
      <w:lvlText w:val="%1."/>
      <w:lvlJc w:val="left"/>
      <w:pPr>
        <w:tabs>
          <w:tab w:val="num" w:pos="432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10"/>
  </w:num>
  <w:num w:numId="7">
    <w:abstractNumId w:val="18"/>
  </w:num>
  <w:num w:numId="8">
    <w:abstractNumId w:val="17"/>
  </w:num>
  <w:num w:numId="9">
    <w:abstractNumId w:val="9"/>
  </w:num>
  <w:num w:numId="10">
    <w:abstractNumId w:val="15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14"/>
  </w:num>
  <w:num w:numId="22">
    <w:abstractNumId w:val="0"/>
  </w:num>
  <w:num w:numId="23">
    <w:abstractNumId w:val="1"/>
  </w:num>
  <w:num w:numId="24">
    <w:abstractNumId w:val="2"/>
  </w:num>
  <w:num w:numId="25">
    <w:abstractNumId w:val="8"/>
  </w:num>
  <w:num w:numId="26">
    <w:abstractNumId w:val="11"/>
  </w:num>
  <w:num w:numId="27">
    <w:abstractNumId w:val="4"/>
  </w:num>
  <w:num w:numId="28">
    <w:abstractNumId w:val="16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3"/>
    </w:lvlOverride>
    <w:lvlOverride w:ilvl="1">
      <w:startOverride w:val="3"/>
    </w:lvlOverride>
  </w:num>
  <w:num w:numId="31">
    <w:abstractNumId w:val="9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9DB"/>
    <w:rsid w:val="00002788"/>
    <w:rsid w:val="00011517"/>
    <w:rsid w:val="00017CB4"/>
    <w:rsid w:val="000235B0"/>
    <w:rsid w:val="000270D9"/>
    <w:rsid w:val="00032A4D"/>
    <w:rsid w:val="0004092F"/>
    <w:rsid w:val="00052D67"/>
    <w:rsid w:val="00053AC3"/>
    <w:rsid w:val="00055EA6"/>
    <w:rsid w:val="000579F9"/>
    <w:rsid w:val="00063C55"/>
    <w:rsid w:val="00064A25"/>
    <w:rsid w:val="00065B85"/>
    <w:rsid w:val="00083220"/>
    <w:rsid w:val="000A0C1E"/>
    <w:rsid w:val="000A2F33"/>
    <w:rsid w:val="000A44B1"/>
    <w:rsid w:val="000C1CC7"/>
    <w:rsid w:val="000C3669"/>
    <w:rsid w:val="000C6CFB"/>
    <w:rsid w:val="000C7CE0"/>
    <w:rsid w:val="000E32A4"/>
    <w:rsid w:val="000F20B7"/>
    <w:rsid w:val="000F2862"/>
    <w:rsid w:val="000F34F4"/>
    <w:rsid w:val="00104BAE"/>
    <w:rsid w:val="00111960"/>
    <w:rsid w:val="00112CE1"/>
    <w:rsid w:val="001154E5"/>
    <w:rsid w:val="0012300B"/>
    <w:rsid w:val="00131C04"/>
    <w:rsid w:val="001342CF"/>
    <w:rsid w:val="00143B63"/>
    <w:rsid w:val="001449A8"/>
    <w:rsid w:val="00150B87"/>
    <w:rsid w:val="0015667E"/>
    <w:rsid w:val="00171920"/>
    <w:rsid w:val="00174E37"/>
    <w:rsid w:val="001A022F"/>
    <w:rsid w:val="001A289D"/>
    <w:rsid w:val="001B1BB3"/>
    <w:rsid w:val="001C2309"/>
    <w:rsid w:val="001C5209"/>
    <w:rsid w:val="001D0A71"/>
    <w:rsid w:val="001D13AC"/>
    <w:rsid w:val="001D3B0F"/>
    <w:rsid w:val="001E5E8F"/>
    <w:rsid w:val="001E6B88"/>
    <w:rsid w:val="002128D8"/>
    <w:rsid w:val="00223118"/>
    <w:rsid w:val="00223533"/>
    <w:rsid w:val="002304EC"/>
    <w:rsid w:val="0023517E"/>
    <w:rsid w:val="0023663D"/>
    <w:rsid w:val="00250367"/>
    <w:rsid w:val="00251228"/>
    <w:rsid w:val="002667C5"/>
    <w:rsid w:val="00272B97"/>
    <w:rsid w:val="00276559"/>
    <w:rsid w:val="0028656F"/>
    <w:rsid w:val="0029293F"/>
    <w:rsid w:val="002929F8"/>
    <w:rsid w:val="00295400"/>
    <w:rsid w:val="00297DB9"/>
    <w:rsid w:val="002B2946"/>
    <w:rsid w:val="002B3AC7"/>
    <w:rsid w:val="002B3B3E"/>
    <w:rsid w:val="002B7496"/>
    <w:rsid w:val="002C5F16"/>
    <w:rsid w:val="002D0395"/>
    <w:rsid w:val="002D18A3"/>
    <w:rsid w:val="002D29B8"/>
    <w:rsid w:val="002D378F"/>
    <w:rsid w:val="002D64FD"/>
    <w:rsid w:val="002E17ED"/>
    <w:rsid w:val="002E28BC"/>
    <w:rsid w:val="002E691B"/>
    <w:rsid w:val="003032DD"/>
    <w:rsid w:val="00354756"/>
    <w:rsid w:val="00355635"/>
    <w:rsid w:val="003668B4"/>
    <w:rsid w:val="00375306"/>
    <w:rsid w:val="00394B98"/>
    <w:rsid w:val="003A32D8"/>
    <w:rsid w:val="003B202C"/>
    <w:rsid w:val="003B31A6"/>
    <w:rsid w:val="003E5928"/>
    <w:rsid w:val="003F0C89"/>
    <w:rsid w:val="003F40B2"/>
    <w:rsid w:val="00400DDF"/>
    <w:rsid w:val="00406412"/>
    <w:rsid w:val="00412AA5"/>
    <w:rsid w:val="00420170"/>
    <w:rsid w:val="00421169"/>
    <w:rsid w:val="00422DC2"/>
    <w:rsid w:val="0042549C"/>
    <w:rsid w:val="00432CA7"/>
    <w:rsid w:val="004415A4"/>
    <w:rsid w:val="00444E5C"/>
    <w:rsid w:val="004476E9"/>
    <w:rsid w:val="0045679C"/>
    <w:rsid w:val="00457365"/>
    <w:rsid w:val="00460FA0"/>
    <w:rsid w:val="0046211C"/>
    <w:rsid w:val="0046785D"/>
    <w:rsid w:val="00495DBB"/>
    <w:rsid w:val="004A3802"/>
    <w:rsid w:val="004A519E"/>
    <w:rsid w:val="004B0DA4"/>
    <w:rsid w:val="004B3D9A"/>
    <w:rsid w:val="004C2F06"/>
    <w:rsid w:val="004C38BC"/>
    <w:rsid w:val="004C6735"/>
    <w:rsid w:val="004C7021"/>
    <w:rsid w:val="004C79CE"/>
    <w:rsid w:val="004D07F6"/>
    <w:rsid w:val="004D198C"/>
    <w:rsid w:val="004E5D6F"/>
    <w:rsid w:val="004F671E"/>
    <w:rsid w:val="005056E2"/>
    <w:rsid w:val="005056EA"/>
    <w:rsid w:val="00510FBE"/>
    <w:rsid w:val="00511FB0"/>
    <w:rsid w:val="00522A81"/>
    <w:rsid w:val="00524A4A"/>
    <w:rsid w:val="00524B9F"/>
    <w:rsid w:val="005304FD"/>
    <w:rsid w:val="00533EB9"/>
    <w:rsid w:val="005417E2"/>
    <w:rsid w:val="00544661"/>
    <w:rsid w:val="00551291"/>
    <w:rsid w:val="0055327B"/>
    <w:rsid w:val="00556394"/>
    <w:rsid w:val="005849EB"/>
    <w:rsid w:val="005A1270"/>
    <w:rsid w:val="005A78E1"/>
    <w:rsid w:val="005B19F8"/>
    <w:rsid w:val="005B2D8F"/>
    <w:rsid w:val="005B72AF"/>
    <w:rsid w:val="005D22C2"/>
    <w:rsid w:val="005E628E"/>
    <w:rsid w:val="0060186D"/>
    <w:rsid w:val="00612F33"/>
    <w:rsid w:val="006130D3"/>
    <w:rsid w:val="00613498"/>
    <w:rsid w:val="00625F7A"/>
    <w:rsid w:val="00636ED7"/>
    <w:rsid w:val="00640B55"/>
    <w:rsid w:val="00642E70"/>
    <w:rsid w:val="006624C0"/>
    <w:rsid w:val="00671F09"/>
    <w:rsid w:val="00673572"/>
    <w:rsid w:val="006777B5"/>
    <w:rsid w:val="00685015"/>
    <w:rsid w:val="00686FDA"/>
    <w:rsid w:val="006A553E"/>
    <w:rsid w:val="006B279F"/>
    <w:rsid w:val="006B620C"/>
    <w:rsid w:val="006C25AF"/>
    <w:rsid w:val="006C536D"/>
    <w:rsid w:val="006D1A21"/>
    <w:rsid w:val="006D2FE8"/>
    <w:rsid w:val="006E4939"/>
    <w:rsid w:val="006F02E9"/>
    <w:rsid w:val="0071231C"/>
    <w:rsid w:val="007123E4"/>
    <w:rsid w:val="007247A0"/>
    <w:rsid w:val="007306D0"/>
    <w:rsid w:val="00740221"/>
    <w:rsid w:val="00747E2E"/>
    <w:rsid w:val="007526FA"/>
    <w:rsid w:val="00757120"/>
    <w:rsid w:val="00760A33"/>
    <w:rsid w:val="00760AD6"/>
    <w:rsid w:val="00760F4E"/>
    <w:rsid w:val="0077006C"/>
    <w:rsid w:val="0077071D"/>
    <w:rsid w:val="00774DE9"/>
    <w:rsid w:val="00775B8E"/>
    <w:rsid w:val="00791A6B"/>
    <w:rsid w:val="00793B2B"/>
    <w:rsid w:val="00797738"/>
    <w:rsid w:val="007C119D"/>
    <w:rsid w:val="007D0A21"/>
    <w:rsid w:val="007D21C6"/>
    <w:rsid w:val="007D64B5"/>
    <w:rsid w:val="007E06C0"/>
    <w:rsid w:val="007E1C6A"/>
    <w:rsid w:val="007E7E0E"/>
    <w:rsid w:val="00815BC9"/>
    <w:rsid w:val="00816CA7"/>
    <w:rsid w:val="0083426E"/>
    <w:rsid w:val="0083524B"/>
    <w:rsid w:val="008409E2"/>
    <w:rsid w:val="00853406"/>
    <w:rsid w:val="00865131"/>
    <w:rsid w:val="00873205"/>
    <w:rsid w:val="0088328F"/>
    <w:rsid w:val="00893EA8"/>
    <w:rsid w:val="008A3EA9"/>
    <w:rsid w:val="008B48B8"/>
    <w:rsid w:val="008C0474"/>
    <w:rsid w:val="008E27D8"/>
    <w:rsid w:val="008F3B15"/>
    <w:rsid w:val="008F7299"/>
    <w:rsid w:val="009205AF"/>
    <w:rsid w:val="00924266"/>
    <w:rsid w:val="00931248"/>
    <w:rsid w:val="00937962"/>
    <w:rsid w:val="00952FAF"/>
    <w:rsid w:val="00965D4D"/>
    <w:rsid w:val="00965E55"/>
    <w:rsid w:val="009664F8"/>
    <w:rsid w:val="00967951"/>
    <w:rsid w:val="009714D4"/>
    <w:rsid w:val="009731FF"/>
    <w:rsid w:val="00982712"/>
    <w:rsid w:val="009A08A2"/>
    <w:rsid w:val="009A2A8D"/>
    <w:rsid w:val="009A4422"/>
    <w:rsid w:val="009A4DE9"/>
    <w:rsid w:val="009C08ED"/>
    <w:rsid w:val="009C12F9"/>
    <w:rsid w:val="009F161B"/>
    <w:rsid w:val="009F3B97"/>
    <w:rsid w:val="009F488A"/>
    <w:rsid w:val="009F7D5B"/>
    <w:rsid w:val="00A14D85"/>
    <w:rsid w:val="00A165B6"/>
    <w:rsid w:val="00A26D83"/>
    <w:rsid w:val="00A3163A"/>
    <w:rsid w:val="00A814D4"/>
    <w:rsid w:val="00A87085"/>
    <w:rsid w:val="00A91ED5"/>
    <w:rsid w:val="00A94F34"/>
    <w:rsid w:val="00A95CAB"/>
    <w:rsid w:val="00A96D19"/>
    <w:rsid w:val="00AA646A"/>
    <w:rsid w:val="00AB1B46"/>
    <w:rsid w:val="00AC43AB"/>
    <w:rsid w:val="00AC66C5"/>
    <w:rsid w:val="00AD0AD3"/>
    <w:rsid w:val="00AD655A"/>
    <w:rsid w:val="00AE4231"/>
    <w:rsid w:val="00AE48F0"/>
    <w:rsid w:val="00AF1A62"/>
    <w:rsid w:val="00AF2F20"/>
    <w:rsid w:val="00B00C9A"/>
    <w:rsid w:val="00B04022"/>
    <w:rsid w:val="00B121AB"/>
    <w:rsid w:val="00B16A73"/>
    <w:rsid w:val="00B21CED"/>
    <w:rsid w:val="00B24C0C"/>
    <w:rsid w:val="00B255B3"/>
    <w:rsid w:val="00B26354"/>
    <w:rsid w:val="00B26A82"/>
    <w:rsid w:val="00B324D7"/>
    <w:rsid w:val="00B45F2F"/>
    <w:rsid w:val="00B50617"/>
    <w:rsid w:val="00B559DC"/>
    <w:rsid w:val="00B56219"/>
    <w:rsid w:val="00B71278"/>
    <w:rsid w:val="00B7179D"/>
    <w:rsid w:val="00B75E67"/>
    <w:rsid w:val="00B80035"/>
    <w:rsid w:val="00B8334F"/>
    <w:rsid w:val="00BB08A9"/>
    <w:rsid w:val="00BC0F05"/>
    <w:rsid w:val="00BC5678"/>
    <w:rsid w:val="00BD1162"/>
    <w:rsid w:val="00BD3E78"/>
    <w:rsid w:val="00BE26F4"/>
    <w:rsid w:val="00BE7B59"/>
    <w:rsid w:val="00BF0DA5"/>
    <w:rsid w:val="00C01067"/>
    <w:rsid w:val="00C0668B"/>
    <w:rsid w:val="00C16E13"/>
    <w:rsid w:val="00C210AE"/>
    <w:rsid w:val="00C22DCB"/>
    <w:rsid w:val="00C26350"/>
    <w:rsid w:val="00C3202D"/>
    <w:rsid w:val="00C419DB"/>
    <w:rsid w:val="00C50B13"/>
    <w:rsid w:val="00C572C8"/>
    <w:rsid w:val="00C60F5C"/>
    <w:rsid w:val="00C62133"/>
    <w:rsid w:val="00C63E07"/>
    <w:rsid w:val="00C677F5"/>
    <w:rsid w:val="00C858E0"/>
    <w:rsid w:val="00C86286"/>
    <w:rsid w:val="00C869EC"/>
    <w:rsid w:val="00CA687B"/>
    <w:rsid w:val="00CC3027"/>
    <w:rsid w:val="00CC3115"/>
    <w:rsid w:val="00CE1E5E"/>
    <w:rsid w:val="00CE5562"/>
    <w:rsid w:val="00CF1010"/>
    <w:rsid w:val="00CF3F2A"/>
    <w:rsid w:val="00D0459C"/>
    <w:rsid w:val="00D06104"/>
    <w:rsid w:val="00D11018"/>
    <w:rsid w:val="00D23ED4"/>
    <w:rsid w:val="00D261A0"/>
    <w:rsid w:val="00D3102D"/>
    <w:rsid w:val="00D32FA8"/>
    <w:rsid w:val="00D349F7"/>
    <w:rsid w:val="00D42532"/>
    <w:rsid w:val="00D503D4"/>
    <w:rsid w:val="00D5468C"/>
    <w:rsid w:val="00D76040"/>
    <w:rsid w:val="00D77EE8"/>
    <w:rsid w:val="00D80287"/>
    <w:rsid w:val="00D809C7"/>
    <w:rsid w:val="00D814EB"/>
    <w:rsid w:val="00DB7314"/>
    <w:rsid w:val="00DC0CC1"/>
    <w:rsid w:val="00DC2947"/>
    <w:rsid w:val="00DC393F"/>
    <w:rsid w:val="00DC7208"/>
    <w:rsid w:val="00DE03E0"/>
    <w:rsid w:val="00DE2081"/>
    <w:rsid w:val="00DF1BE0"/>
    <w:rsid w:val="00DF7940"/>
    <w:rsid w:val="00DF7E1E"/>
    <w:rsid w:val="00E07722"/>
    <w:rsid w:val="00E0799F"/>
    <w:rsid w:val="00E23449"/>
    <w:rsid w:val="00E2586B"/>
    <w:rsid w:val="00E32268"/>
    <w:rsid w:val="00E33890"/>
    <w:rsid w:val="00E42837"/>
    <w:rsid w:val="00E42AC1"/>
    <w:rsid w:val="00E42DC0"/>
    <w:rsid w:val="00E444A6"/>
    <w:rsid w:val="00E45D08"/>
    <w:rsid w:val="00E4682E"/>
    <w:rsid w:val="00E60487"/>
    <w:rsid w:val="00E71656"/>
    <w:rsid w:val="00E721B4"/>
    <w:rsid w:val="00E77705"/>
    <w:rsid w:val="00EA0376"/>
    <w:rsid w:val="00EB001B"/>
    <w:rsid w:val="00EB6E05"/>
    <w:rsid w:val="00EC118F"/>
    <w:rsid w:val="00ED27DB"/>
    <w:rsid w:val="00ED2AD4"/>
    <w:rsid w:val="00EE4BD6"/>
    <w:rsid w:val="00EE4FB6"/>
    <w:rsid w:val="00EE64A0"/>
    <w:rsid w:val="00EE6C7A"/>
    <w:rsid w:val="00EF4280"/>
    <w:rsid w:val="00F002BF"/>
    <w:rsid w:val="00F00372"/>
    <w:rsid w:val="00F011DF"/>
    <w:rsid w:val="00F16DCA"/>
    <w:rsid w:val="00F20A0A"/>
    <w:rsid w:val="00F34EC3"/>
    <w:rsid w:val="00F365A6"/>
    <w:rsid w:val="00F43BA3"/>
    <w:rsid w:val="00F50368"/>
    <w:rsid w:val="00F5234C"/>
    <w:rsid w:val="00F63F78"/>
    <w:rsid w:val="00F66CDC"/>
    <w:rsid w:val="00F85B48"/>
    <w:rsid w:val="00F91836"/>
    <w:rsid w:val="00FA23DD"/>
    <w:rsid w:val="00FB5590"/>
    <w:rsid w:val="00FC018E"/>
    <w:rsid w:val="00FC0EB4"/>
    <w:rsid w:val="00FC7CC0"/>
    <w:rsid w:val="00FE17A6"/>
    <w:rsid w:val="00FE425E"/>
    <w:rsid w:val="00FE46AC"/>
    <w:rsid w:val="00FE4CE8"/>
    <w:rsid w:val="00FE6A15"/>
    <w:rsid w:val="00FF1763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F715C1A"/>
  <w15:docId w15:val="{D2DEF72C-AEA3-4531-A37B-80A6FD28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E06C0"/>
  </w:style>
  <w:style w:type="paragraph" w:styleId="Nadpis10">
    <w:name w:val="heading 1"/>
    <w:basedOn w:val="Normln"/>
    <w:next w:val="Normln"/>
    <w:link w:val="Nadpis1Char"/>
    <w:qFormat/>
    <w:rsid w:val="000235B0"/>
    <w:pPr>
      <w:keepNext/>
      <w:keepLines/>
      <w:numPr>
        <w:numId w:val="10"/>
      </w:numPr>
      <w:spacing w:after="120" w:line="240" w:lineRule="auto"/>
      <w:ind w:left="964" w:hanging="964"/>
      <w:jc w:val="both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"/>
    <w:next w:val="Text"/>
    <w:link w:val="Nadpis2Char"/>
    <w:autoRedefine/>
    <w:qFormat/>
    <w:rsid w:val="00D32FA8"/>
    <w:pPr>
      <w:keepNext/>
      <w:numPr>
        <w:ilvl w:val="1"/>
        <w:numId w:val="9"/>
      </w:numPr>
      <w:tabs>
        <w:tab w:val="left" w:pos="0"/>
      </w:tabs>
      <w:spacing w:after="120" w:line="240" w:lineRule="auto"/>
      <w:jc w:val="both"/>
      <w:outlineLvl w:val="1"/>
    </w:pPr>
    <w:rPr>
      <w:rFonts w:eastAsia="Times New Roman" w:cs="Times New Roman"/>
      <w:b/>
      <w:bCs/>
      <w:caps/>
      <w:sz w:val="24"/>
      <w:szCs w:val="24"/>
      <w:lang w:eastAsia="cs-CZ"/>
    </w:rPr>
  </w:style>
  <w:style w:type="paragraph" w:styleId="Nadpis30">
    <w:name w:val="heading 3"/>
    <w:basedOn w:val="Normln"/>
    <w:next w:val="Text"/>
    <w:link w:val="Nadpis3Char"/>
    <w:qFormat/>
    <w:rsid w:val="000235B0"/>
    <w:pPr>
      <w:keepNext/>
      <w:numPr>
        <w:ilvl w:val="2"/>
        <w:numId w:val="7"/>
      </w:numPr>
      <w:tabs>
        <w:tab w:val="clear" w:pos="720"/>
      </w:tabs>
      <w:spacing w:after="120" w:line="240" w:lineRule="auto"/>
      <w:ind w:left="964" w:hanging="964"/>
      <w:outlineLvl w:val="2"/>
    </w:pPr>
    <w:rPr>
      <w:rFonts w:eastAsia="Times New Roman" w:cs="Times New Roman"/>
      <w:b/>
      <w:caps/>
      <w:sz w:val="24"/>
      <w:szCs w:val="20"/>
      <w:lang w:eastAsia="cs-CZ"/>
    </w:rPr>
  </w:style>
  <w:style w:type="paragraph" w:styleId="Nadpis4">
    <w:name w:val="heading 4"/>
    <w:basedOn w:val="Normln"/>
    <w:next w:val="Text"/>
    <w:link w:val="Nadpis4Char"/>
    <w:qFormat/>
    <w:rsid w:val="000235B0"/>
    <w:pPr>
      <w:keepNext/>
      <w:numPr>
        <w:ilvl w:val="3"/>
        <w:numId w:val="7"/>
      </w:numPr>
      <w:tabs>
        <w:tab w:val="clear" w:pos="864"/>
      </w:tabs>
      <w:spacing w:after="120" w:line="240" w:lineRule="auto"/>
      <w:ind w:left="1247" w:hanging="1247"/>
      <w:jc w:val="both"/>
      <w:outlineLvl w:val="3"/>
    </w:pPr>
    <w:rPr>
      <w:rFonts w:eastAsia="Times New Roman" w:cs="Times New Roman"/>
      <w:b/>
      <w:bCs/>
      <w:caps/>
      <w:sz w:val="24"/>
      <w:szCs w:val="28"/>
      <w:lang w:eastAsia="cs-CZ"/>
    </w:rPr>
  </w:style>
  <w:style w:type="paragraph" w:styleId="Nadpis5">
    <w:name w:val="heading 5"/>
    <w:basedOn w:val="Normln"/>
    <w:next w:val="Text"/>
    <w:link w:val="Nadpis5Char"/>
    <w:qFormat/>
    <w:rsid w:val="000235B0"/>
    <w:pPr>
      <w:numPr>
        <w:ilvl w:val="4"/>
        <w:numId w:val="7"/>
      </w:numPr>
      <w:tabs>
        <w:tab w:val="clear" w:pos="1434"/>
      </w:tabs>
      <w:spacing w:after="120" w:line="240" w:lineRule="auto"/>
      <w:ind w:left="1588" w:hanging="1588"/>
      <w:jc w:val="both"/>
      <w:outlineLvl w:val="4"/>
    </w:pPr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235B0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eastAsia="Times New Roman" w:cs="Times New Roman"/>
      <w:b/>
      <w:bCs/>
      <w:i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235B0"/>
    <w:pPr>
      <w:keepNext/>
      <w:numPr>
        <w:ilvl w:val="6"/>
        <w:numId w:val="7"/>
      </w:numPr>
      <w:spacing w:before="120" w:after="0" w:line="240" w:lineRule="auto"/>
      <w:jc w:val="center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235B0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eastAsia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0235B0"/>
    <w:pPr>
      <w:numPr>
        <w:ilvl w:val="8"/>
        <w:numId w:val="7"/>
      </w:numPr>
      <w:spacing w:before="240" w:after="60" w:line="240" w:lineRule="auto"/>
      <w:jc w:val="both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D23ED4"/>
  </w:style>
  <w:style w:type="paragraph" w:styleId="Zpat">
    <w:name w:val="footer"/>
    <w:basedOn w:val="Normln"/>
    <w:link w:val="ZpatChar"/>
    <w:uiPriority w:val="99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3ED4"/>
  </w:style>
  <w:style w:type="paragraph" w:styleId="Textbubliny">
    <w:name w:val="Balloon Text"/>
    <w:basedOn w:val="Normln"/>
    <w:link w:val="TextbublinyChar"/>
    <w:uiPriority w:val="99"/>
    <w:semiHidden/>
    <w:unhideWhenUsed/>
    <w:rsid w:val="00C26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350"/>
    <w:rPr>
      <w:rFonts w:ascii="Segoe UI" w:hAnsi="Segoe UI" w:cs="Segoe UI"/>
      <w:sz w:val="18"/>
      <w:szCs w:val="18"/>
    </w:rPr>
  </w:style>
  <w:style w:type="paragraph" w:customStyle="1" w:styleId="Nadpis1">
    <w:name w:val="Nadpis1"/>
    <w:basedOn w:val="Nadpis10"/>
    <w:link w:val="Nadpis1Char0"/>
    <w:autoRedefine/>
    <w:rsid w:val="006D1A21"/>
    <w:pPr>
      <w:numPr>
        <w:numId w:val="3"/>
      </w:numPr>
      <w:autoSpaceDE w:val="0"/>
      <w:autoSpaceDN w:val="0"/>
      <w:adjustRightInd w:val="0"/>
      <w:spacing w:line="360" w:lineRule="auto"/>
      <w:ind w:left="360"/>
    </w:pPr>
    <w:rPr>
      <w:rFonts w:cs="HelveticaNeueLTPro-Bd"/>
      <w:b w:val="0"/>
      <w:caps w:val="0"/>
      <w:sz w:val="28"/>
      <w:szCs w:val="25"/>
    </w:rPr>
  </w:style>
  <w:style w:type="paragraph" w:customStyle="1" w:styleId="Styl1">
    <w:name w:val="Styl1"/>
    <w:basedOn w:val="Normln"/>
    <w:link w:val="Styl1Char"/>
    <w:rsid w:val="00BD1162"/>
  </w:style>
  <w:style w:type="character" w:customStyle="1" w:styleId="Nadpis1Char">
    <w:name w:val="Nadpis 1 Char"/>
    <w:basedOn w:val="Standardnpsmoodstavce"/>
    <w:link w:val="Nadpis10"/>
    <w:rsid w:val="000235B0"/>
    <w:rPr>
      <w:rFonts w:eastAsiaTheme="majorEastAsia" w:cstheme="majorBidi"/>
      <w:b/>
      <w:caps/>
      <w:sz w:val="32"/>
      <w:szCs w:val="32"/>
    </w:rPr>
  </w:style>
  <w:style w:type="character" w:customStyle="1" w:styleId="Nadpis1Char0">
    <w:name w:val="Nadpis1 Char"/>
    <w:basedOn w:val="Nadpis1Char"/>
    <w:link w:val="Nadpis1"/>
    <w:rsid w:val="006D1A21"/>
    <w:rPr>
      <w:rFonts w:asciiTheme="majorHAnsi" w:eastAsiaTheme="majorEastAsia" w:hAnsiTheme="majorHAnsi" w:cs="HelveticaNeueLTPro-Bd"/>
      <w:b w:val="0"/>
      <w:caps w:val="0"/>
      <w:color w:val="2E74B5" w:themeColor="accent1" w:themeShade="BF"/>
      <w:sz w:val="28"/>
      <w:szCs w:val="25"/>
    </w:rPr>
  </w:style>
  <w:style w:type="paragraph" w:customStyle="1" w:styleId="Text">
    <w:name w:val="Text"/>
    <w:basedOn w:val="Styl1"/>
    <w:link w:val="TextChar"/>
    <w:qFormat/>
    <w:rsid w:val="000235B0"/>
    <w:pPr>
      <w:spacing w:after="120" w:line="240" w:lineRule="auto"/>
    </w:pPr>
    <w:rPr>
      <w:sz w:val="24"/>
    </w:rPr>
  </w:style>
  <w:style w:type="character" w:customStyle="1" w:styleId="Styl1Char">
    <w:name w:val="Styl1 Char"/>
    <w:basedOn w:val="Standardnpsmoodstavce"/>
    <w:link w:val="Styl1"/>
    <w:rsid w:val="00BD1162"/>
  </w:style>
  <w:style w:type="paragraph" w:customStyle="1" w:styleId="Nadpis20">
    <w:name w:val="Nadpis2"/>
    <w:basedOn w:val="Nadpis1"/>
    <w:link w:val="Nadpis2Char0"/>
    <w:autoRedefine/>
    <w:rsid w:val="00AA646A"/>
    <w:pPr>
      <w:numPr>
        <w:numId w:val="4"/>
      </w:numPr>
    </w:pPr>
    <w:rPr>
      <w:rFonts w:ascii="Arial" w:hAnsi="Arial"/>
      <w:color w:val="2E74B5" w:themeColor="accent1" w:themeShade="BF"/>
      <w:sz w:val="32"/>
    </w:rPr>
  </w:style>
  <w:style w:type="character" w:customStyle="1" w:styleId="TextChar">
    <w:name w:val="Text Char"/>
    <w:basedOn w:val="Styl1Char"/>
    <w:link w:val="Text"/>
    <w:rsid w:val="000235B0"/>
    <w:rPr>
      <w:sz w:val="24"/>
    </w:rPr>
  </w:style>
  <w:style w:type="paragraph" w:styleId="Odstavecseseznamem">
    <w:name w:val="List Paragraph"/>
    <w:basedOn w:val="Normln"/>
    <w:uiPriority w:val="34"/>
    <w:qFormat/>
    <w:rsid w:val="00BD1162"/>
    <w:pPr>
      <w:ind w:left="720"/>
      <w:contextualSpacing/>
    </w:pPr>
  </w:style>
  <w:style w:type="character" w:customStyle="1" w:styleId="Nadpis2Char0">
    <w:name w:val="Nadpis2 Char"/>
    <w:basedOn w:val="Nadpis1Char0"/>
    <w:link w:val="Nadpis20"/>
    <w:rsid w:val="00AA646A"/>
    <w:rPr>
      <w:rFonts w:ascii="Arial" w:eastAsiaTheme="majorEastAsia" w:hAnsi="Arial" w:cs="HelveticaNeueLTPro-Bd"/>
      <w:b w:val="0"/>
      <w:caps w:val="0"/>
      <w:color w:val="2E74B5" w:themeColor="accent1" w:themeShade="BF"/>
      <w:sz w:val="32"/>
      <w:szCs w:val="25"/>
    </w:rPr>
  </w:style>
  <w:style w:type="paragraph" w:styleId="Obsah1">
    <w:name w:val="toc 1"/>
    <w:basedOn w:val="Normln"/>
    <w:next w:val="Normln"/>
    <w:autoRedefine/>
    <w:uiPriority w:val="39"/>
    <w:unhideWhenUsed/>
    <w:rsid w:val="000235B0"/>
    <w:pPr>
      <w:spacing w:after="0"/>
    </w:pPr>
    <w:rPr>
      <w:caps/>
      <w:sz w:val="24"/>
    </w:rPr>
  </w:style>
  <w:style w:type="character" w:styleId="Hypertextovodkaz">
    <w:name w:val="Hyperlink"/>
    <w:basedOn w:val="Standardnpsmoodstavce"/>
    <w:uiPriority w:val="99"/>
    <w:unhideWhenUsed/>
    <w:rsid w:val="00F00372"/>
    <w:rPr>
      <w:color w:val="0563C1" w:themeColor="hyperlink"/>
      <w:u w:val="single"/>
    </w:rPr>
  </w:style>
  <w:style w:type="paragraph" w:customStyle="1" w:styleId="Nadpis3">
    <w:name w:val="Nadpis3"/>
    <w:basedOn w:val="Nadpis20"/>
    <w:link w:val="Nadpis3Char0"/>
    <w:autoRedefine/>
    <w:rsid w:val="006D1A21"/>
    <w:pPr>
      <w:numPr>
        <w:numId w:val="5"/>
      </w:numPr>
    </w:pPr>
  </w:style>
  <w:style w:type="character" w:customStyle="1" w:styleId="Nadpis3Char0">
    <w:name w:val="Nadpis3 Char"/>
    <w:basedOn w:val="Nadpis2Char0"/>
    <w:link w:val="Nadpis3"/>
    <w:rsid w:val="006D1A21"/>
    <w:rPr>
      <w:rFonts w:ascii="Arial Narrow" w:eastAsiaTheme="majorEastAsia" w:hAnsi="Arial Narrow" w:cs="HelveticaNeueLTPro-Bd"/>
      <w:b w:val="0"/>
      <w:caps w:val="0"/>
      <w:color w:val="2E74B5" w:themeColor="accent1" w:themeShade="BF"/>
      <w:sz w:val="28"/>
      <w:szCs w:val="25"/>
    </w:rPr>
  </w:style>
  <w:style w:type="character" w:customStyle="1" w:styleId="Nadpis2Char">
    <w:name w:val="Nadpis 2 Char"/>
    <w:basedOn w:val="Standardnpsmoodstavce"/>
    <w:link w:val="Nadpis2"/>
    <w:rsid w:val="00D32FA8"/>
    <w:rPr>
      <w:rFonts w:eastAsia="Times New Roman" w:cs="Times New Roman"/>
      <w:b/>
      <w:bCs/>
      <w:cap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0"/>
    <w:rsid w:val="000235B0"/>
    <w:rPr>
      <w:rFonts w:eastAsia="Times New Roman" w:cs="Times New Roman"/>
      <w:b/>
      <w:cap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235B0"/>
    <w:rPr>
      <w:rFonts w:eastAsia="Times New Roman" w:cs="Times New Roman"/>
      <w:b/>
      <w:bCs/>
      <w:cap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0235B0"/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0235B0"/>
    <w:rPr>
      <w:rFonts w:eastAsia="Times New Roman" w:cs="Times New Roman"/>
      <w:b/>
      <w:bCs/>
      <w:i/>
      <w:lang w:eastAsia="cs-CZ"/>
    </w:rPr>
  </w:style>
  <w:style w:type="character" w:customStyle="1" w:styleId="Nadpis7Char">
    <w:name w:val="Nadpis 7 Char"/>
    <w:basedOn w:val="Standardnpsmoodstavce"/>
    <w:link w:val="Nadpis7"/>
    <w:rsid w:val="000235B0"/>
    <w:rPr>
      <w:rFonts w:eastAsia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0235B0"/>
    <w:rPr>
      <w:rFonts w:eastAsia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0235B0"/>
    <w:rPr>
      <w:rFonts w:eastAsia="Times New Roman" w:cs="Arial"/>
      <w:lang w:eastAsia="cs-CZ"/>
    </w:rPr>
  </w:style>
  <w:style w:type="paragraph" w:styleId="Nadpisobsahu">
    <w:name w:val="TOC Heading"/>
    <w:basedOn w:val="Nadpis10"/>
    <w:next w:val="Normln"/>
    <w:uiPriority w:val="39"/>
    <w:unhideWhenUsed/>
    <w:qFormat/>
    <w:rsid w:val="00EA0376"/>
    <w:pPr>
      <w:numPr>
        <w:numId w:val="0"/>
      </w:numPr>
      <w:spacing w:before="240"/>
      <w:jc w:val="left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A0376"/>
    <w:pPr>
      <w:tabs>
        <w:tab w:val="left" w:pos="880"/>
        <w:tab w:val="right" w:leader="dot" w:pos="9854"/>
      </w:tabs>
      <w:spacing w:after="0"/>
      <w:ind w:left="221"/>
    </w:pPr>
    <w:rPr>
      <w:caps/>
      <w:sz w:val="24"/>
    </w:rPr>
  </w:style>
  <w:style w:type="paragraph" w:styleId="Obsah3">
    <w:name w:val="toc 3"/>
    <w:basedOn w:val="Normln"/>
    <w:next w:val="Normln"/>
    <w:autoRedefine/>
    <w:uiPriority w:val="39"/>
    <w:unhideWhenUsed/>
    <w:rsid w:val="00EA0376"/>
    <w:pPr>
      <w:spacing w:after="0"/>
      <w:ind w:left="442"/>
    </w:pPr>
    <w:rPr>
      <w:caps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EA0376"/>
    <w:pPr>
      <w:tabs>
        <w:tab w:val="left" w:pos="1540"/>
        <w:tab w:val="right" w:leader="dot" w:pos="9854"/>
      </w:tabs>
      <w:spacing w:after="0" w:line="240" w:lineRule="auto"/>
      <w:ind w:left="658"/>
    </w:pPr>
    <w:rPr>
      <w:caps/>
      <w:sz w:val="20"/>
    </w:rPr>
  </w:style>
  <w:style w:type="paragraph" w:styleId="Obsah5">
    <w:name w:val="toc 5"/>
    <w:basedOn w:val="Normln"/>
    <w:next w:val="Normln"/>
    <w:autoRedefine/>
    <w:uiPriority w:val="39"/>
    <w:unhideWhenUsed/>
    <w:rsid w:val="00EA0376"/>
    <w:pPr>
      <w:spacing w:after="0"/>
      <w:ind w:left="879"/>
    </w:pPr>
    <w:rPr>
      <w:i/>
      <w:caps/>
      <w:sz w:val="20"/>
    </w:rPr>
  </w:style>
  <w:style w:type="paragraph" w:customStyle="1" w:styleId="Normal">
    <w:name w:val="[Normal]"/>
    <w:basedOn w:val="Normln"/>
    <w:rsid w:val="002E17ED"/>
    <w:pPr>
      <w:widowControl w:val="0"/>
      <w:spacing w:after="0" w:line="240" w:lineRule="auto"/>
    </w:pPr>
    <w:rPr>
      <w:rFonts w:ascii="Lucida Sans Unicode" w:eastAsia="Times New Roman" w:hAnsi="Lucida Sans Unicode" w:cs="Times New Roman"/>
      <w:noProof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E32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semiHidden/>
    <w:rsid w:val="00B75E67"/>
    <w:pPr>
      <w:tabs>
        <w:tab w:val="left" w:pos="-156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B75E6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75E67"/>
    <w:pPr>
      <w:spacing w:after="0" w:line="240" w:lineRule="auto"/>
      <w:ind w:left="4248" w:hanging="4248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75E67"/>
    <w:rPr>
      <w:rFonts w:ascii="Arial" w:eastAsia="Times New Roman" w:hAnsi="Arial" w:cs="Arial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B75E67"/>
    <w:pPr>
      <w:spacing w:after="0" w:line="240" w:lineRule="auto"/>
      <w:ind w:left="4248" w:hanging="4248"/>
      <w:jc w:val="both"/>
    </w:pPr>
    <w:rPr>
      <w:rFonts w:ascii="Arial" w:eastAsia="Times New Roman" w:hAnsi="Arial" w:cs="Arial"/>
      <w:color w:val="0000FF"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75E67"/>
    <w:rPr>
      <w:rFonts w:ascii="Arial" w:eastAsia="Times New Roman" w:hAnsi="Arial" w:cs="Arial"/>
      <w:color w:val="0000FF"/>
      <w:sz w:val="20"/>
      <w:szCs w:val="20"/>
      <w:lang w:eastAsia="cs-CZ"/>
    </w:rPr>
  </w:style>
  <w:style w:type="paragraph" w:customStyle="1" w:styleId="NadpisA">
    <w:name w:val="Nadpis A"/>
    <w:basedOn w:val="Nadpis10"/>
    <w:rsid w:val="00B75E67"/>
    <w:pPr>
      <w:keepLines w:val="0"/>
      <w:widowControl w:val="0"/>
      <w:numPr>
        <w:numId w:val="25"/>
      </w:numPr>
      <w:tabs>
        <w:tab w:val="left" w:pos="57"/>
        <w:tab w:val="left" w:pos="227"/>
        <w:tab w:val="left" w:pos="567"/>
      </w:tabs>
      <w:spacing w:before="120" w:after="60" w:line="280" w:lineRule="atLeast"/>
    </w:pPr>
    <w:rPr>
      <w:rFonts w:ascii="Arial" w:eastAsia="Times New Roman" w:hAnsi="Arial" w:cs="Arial"/>
      <w:bCs/>
      <w:caps w:val="0"/>
      <w:smallCaps/>
      <w:color w:val="0000FF"/>
      <w:kern w:val="32"/>
      <w:sz w:val="28"/>
      <w:lang w:eastAsia="cs-CZ"/>
    </w:rPr>
  </w:style>
  <w:style w:type="paragraph" w:customStyle="1" w:styleId="ElektroNormln">
    <w:name w:val="Elektro_Normální"/>
    <w:basedOn w:val="Normln"/>
    <w:rsid w:val="00E42DC0"/>
    <w:pPr>
      <w:spacing w:after="120" w:line="240" w:lineRule="auto"/>
      <w:jc w:val="both"/>
    </w:pPr>
    <w:rPr>
      <w:rFonts w:ascii="Arial" w:eastAsia="Times New Roman" w:hAnsi="Arial" w:cs="Times New Roman"/>
      <w:kern w:val="2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B731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B7314"/>
  </w:style>
  <w:style w:type="paragraph" w:customStyle="1" w:styleId="ENormln">
    <w:name w:val="E_Normální"/>
    <w:basedOn w:val="Normln"/>
    <w:rsid w:val="005B19F8"/>
    <w:pPr>
      <w:spacing w:after="120" w:line="240" w:lineRule="auto"/>
      <w:jc w:val="both"/>
    </w:pPr>
    <w:rPr>
      <w:rFonts w:ascii="Arial" w:eastAsia="Times New Roman" w:hAnsi="Arial" w:cs="Times New Roman"/>
      <w:kern w:val="2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C1B4D-94F1-41EC-B6DD-F7E677E2B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3403</TotalTime>
  <Pages>4</Pages>
  <Words>1465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HELIKA, a.s.</Company>
  <LinksUpToDate>false</LinksUpToDate>
  <CharactersWithSpaces>10092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Týfová Alena</dc:creator>
  <cp:keywords/>
  <dc:description/>
  <cp:lastModifiedBy>Kvasnička Miloš</cp:lastModifiedBy>
  <cp:revision>245</cp:revision>
  <cp:lastPrinted>2016-06-09T12:59:00Z</cp:lastPrinted>
  <dcterms:created xsi:type="dcterms:W3CDTF">2015-09-02T15:21:00Z</dcterms:created>
  <dcterms:modified xsi:type="dcterms:W3CDTF">2017-03-21T11:25:00Z</dcterms:modified>
</cp:coreProperties>
</file>