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9D4B51">
      <w:pPr>
        <w:pStyle w:val="Nadpis2"/>
        <w:numPr>
          <w:ilvl w:val="0"/>
          <w:numId w:val="0"/>
        </w:numPr>
        <w:ind w:left="851"/>
      </w:pPr>
    </w:p>
    <w:p w:rsidR="00E92888" w:rsidRDefault="00E92888" w:rsidP="00E92888">
      <w:pPr>
        <w:pStyle w:val="Nadpis3"/>
        <w:numPr>
          <w:ilvl w:val="0"/>
          <w:numId w:val="0"/>
        </w:numPr>
        <w:ind w:left="788"/>
      </w:pPr>
    </w:p>
    <w:p w:rsidR="00E92888" w:rsidRDefault="00E92888" w:rsidP="00E92888"/>
    <w:p w:rsidR="00E92888" w:rsidRP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/>
    <w:p w:rsidR="00E92888" w:rsidRDefault="00E92888" w:rsidP="00E92888">
      <w:bookmarkStart w:id="0" w:name="_GoBack"/>
      <w:bookmarkEnd w:id="0"/>
    </w:p>
    <w:p w:rsidR="00E92888" w:rsidRDefault="00E92888" w:rsidP="00E92888"/>
    <w:p w:rsidR="00E92888" w:rsidRPr="00E92888" w:rsidRDefault="00E92888" w:rsidP="00E9288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4B01F6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9D4B51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obj. </w:t>
            </w:r>
            <w:r w:rsidR="009D4B51">
              <w:rPr>
                <w:b/>
                <w:sz w:val="30"/>
                <w:szCs w:val="30"/>
              </w:rPr>
              <w:t>C</w:t>
            </w:r>
            <w:r>
              <w:rPr>
                <w:b/>
                <w:sz w:val="30"/>
                <w:szCs w:val="30"/>
              </w:rPr>
              <w:t>, „kmenov</w:t>
            </w:r>
            <w:r w:rsidR="00385411">
              <w:rPr>
                <w:b/>
                <w:sz w:val="30"/>
                <w:szCs w:val="30"/>
              </w:rPr>
              <w:t>á</w:t>
            </w:r>
            <w:r>
              <w:rPr>
                <w:b/>
                <w:sz w:val="30"/>
                <w:szCs w:val="30"/>
              </w:rPr>
              <w:t>“ učebn</w:t>
            </w:r>
            <w:r w:rsidR="00385411">
              <w:rPr>
                <w:b/>
                <w:sz w:val="30"/>
                <w:szCs w:val="30"/>
              </w:rPr>
              <w:t xml:space="preserve">a </w:t>
            </w:r>
            <w:r w:rsidR="001504ED">
              <w:rPr>
                <w:b/>
                <w:sz w:val="30"/>
                <w:szCs w:val="30"/>
              </w:rPr>
              <w:t>1</w:t>
            </w:r>
            <w:r w:rsidR="009D4B51">
              <w:rPr>
                <w:b/>
                <w:sz w:val="30"/>
                <w:szCs w:val="30"/>
              </w:rPr>
              <w:t>10</w:t>
            </w:r>
            <w:r w:rsidR="00E11C3B">
              <w:rPr>
                <w:b/>
                <w:sz w:val="30"/>
                <w:szCs w:val="30"/>
              </w:rPr>
              <w:t>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bookmarkStart w:id="2" w:name="_Toc471888041"/>
      <w:r w:rsidRPr="00A95FE7">
        <w:lastRenderedPageBreak/>
        <w:t>Obsah</w:t>
      </w:r>
      <w:bookmarkEnd w:id="1"/>
      <w:bookmarkEnd w:id="2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246154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6154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3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4" w:name="_Toc456960397"/>
      <w:bookmarkStart w:id="5" w:name="_Toc471888042"/>
      <w:bookmarkEnd w:id="3"/>
      <w:r w:rsidRPr="0046723E">
        <w:lastRenderedPageBreak/>
        <w:t>Identifikace stavby</w:t>
      </w:r>
      <w:bookmarkEnd w:id="4"/>
      <w:bookmarkEnd w:id="5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6" w:name="_Toc404702648"/>
      <w:bookmarkStart w:id="7" w:name="_Toc456960398"/>
      <w:bookmarkStart w:id="8" w:name="_Toc471888043"/>
      <w:r w:rsidRPr="0046723E">
        <w:t>Údaje o stavbě</w:t>
      </w:r>
      <w:bookmarkEnd w:id="6"/>
      <w:bookmarkEnd w:id="7"/>
      <w:bookmarkEnd w:id="8"/>
    </w:p>
    <w:p w:rsidR="00435A57" w:rsidRPr="0046723E" w:rsidRDefault="00435A57" w:rsidP="00435A57">
      <w:pPr>
        <w:pStyle w:val="Nadpis3"/>
        <w:ind w:left="0" w:firstLine="567"/>
      </w:pPr>
      <w:bookmarkStart w:id="9" w:name="_Toc404702649"/>
      <w:bookmarkStart w:id="10" w:name="_Toc456960399"/>
      <w:bookmarkStart w:id="11" w:name="_Toc471888044"/>
      <w:r w:rsidRPr="0046723E">
        <w:t>název stavby</w:t>
      </w:r>
      <w:bookmarkEnd w:id="9"/>
      <w:bookmarkEnd w:id="10"/>
      <w:bookmarkEnd w:id="11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Výpočet denního osvětlení dle ČSN 73 0580 – obj.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2" w:name="_Toc404702650"/>
      <w:bookmarkStart w:id="13" w:name="_Toc456960400"/>
      <w:bookmarkStart w:id="14" w:name="_Toc471888045"/>
      <w:r w:rsidRPr="0046723E">
        <w:t>místo stavby</w:t>
      </w:r>
      <w:bookmarkEnd w:id="12"/>
      <w:bookmarkEnd w:id="13"/>
      <w:bookmarkEnd w:id="14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5" w:name="_Toc404702651"/>
      <w:r w:rsidRPr="0046723E">
        <w:t>pozemek stavby - parc.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6" w:name="_Toc404702652"/>
      <w:bookmarkStart w:id="17" w:name="_Toc456960401"/>
      <w:bookmarkStart w:id="18" w:name="_Toc471888046"/>
      <w:bookmarkEnd w:id="15"/>
      <w:r w:rsidRPr="0046723E">
        <w:t>Údaje o stavebníkovi</w:t>
      </w:r>
      <w:bookmarkEnd w:id="16"/>
      <w:bookmarkEnd w:id="17"/>
      <w:bookmarkEnd w:id="18"/>
    </w:p>
    <w:p w:rsidR="00435A57" w:rsidRPr="0046723E" w:rsidRDefault="00435A57" w:rsidP="00435A57">
      <w:pPr>
        <w:pStyle w:val="Nadpis3"/>
        <w:ind w:left="0" w:firstLine="567"/>
      </w:pPr>
      <w:bookmarkStart w:id="19" w:name="_Toc404702653"/>
      <w:bookmarkStart w:id="20" w:name="_Toc456960402"/>
      <w:bookmarkStart w:id="21" w:name="_Toc471888047"/>
      <w:r w:rsidRPr="0046723E">
        <w:t>jméno, příjmení a místo trvalého pobytu (fyzická osoba)</w:t>
      </w:r>
      <w:bookmarkEnd w:id="19"/>
      <w:bookmarkEnd w:id="20"/>
      <w:bookmarkEnd w:id="21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2" w:name="_Toc404702654"/>
      <w:bookmarkStart w:id="23" w:name="_Toc456960403"/>
      <w:bookmarkStart w:id="24" w:name="_Toc471888048"/>
      <w:r w:rsidRPr="0046723E">
        <w:t>jméno, příjmení, obchodní firma, IČ (fyzická osoba podnikající)</w:t>
      </w:r>
      <w:bookmarkEnd w:id="22"/>
      <w:bookmarkEnd w:id="23"/>
      <w:bookmarkEnd w:id="24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5" w:name="_Toc404702655"/>
      <w:bookmarkStart w:id="26" w:name="_Toc456960404"/>
      <w:bookmarkStart w:id="27" w:name="_Toc471888049"/>
      <w:r w:rsidRPr="0046723E">
        <w:t>obchodní firma nebo název, IČ, adresa sídla (právnická osoba)</w:t>
      </w:r>
      <w:bookmarkEnd w:id="25"/>
      <w:bookmarkEnd w:id="26"/>
      <w:bookmarkEnd w:id="27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8" w:name="_Toc404702656"/>
      <w:bookmarkStart w:id="29" w:name="_Toc456960405"/>
      <w:bookmarkStart w:id="30" w:name="_Toc471888050"/>
      <w:r w:rsidRPr="0046723E">
        <w:t>Údaje o zpracovateli projektové dokumentace</w:t>
      </w:r>
      <w:bookmarkEnd w:id="28"/>
      <w:bookmarkEnd w:id="29"/>
      <w:bookmarkEnd w:id="30"/>
    </w:p>
    <w:p w:rsidR="00435A57" w:rsidRPr="0046723E" w:rsidRDefault="00435A57" w:rsidP="00435A57">
      <w:pPr>
        <w:pStyle w:val="Nadpis3"/>
        <w:ind w:left="851" w:hanging="284"/>
      </w:pPr>
      <w:bookmarkStart w:id="31" w:name="_Toc404702657"/>
      <w:bookmarkStart w:id="32" w:name="_Toc456960406"/>
      <w:bookmarkStart w:id="33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1"/>
      <w:bookmarkEnd w:id="32"/>
      <w:bookmarkEnd w:id="33"/>
    </w:p>
    <w:p w:rsidR="00435A57" w:rsidRPr="0046723E" w:rsidRDefault="00435A57" w:rsidP="00435A57">
      <w:r w:rsidRPr="0046723E">
        <w:t>IM Projekt, spol.s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4" w:name="_Toc404702658"/>
      <w:bookmarkStart w:id="35" w:name="_Toc456960407"/>
      <w:bookmarkStart w:id="36" w:name="_Toc471888052"/>
      <w:r w:rsidRPr="0046723E">
        <w:t>jméno a příjmení hlavního projektanta včetně čísla ČKAIT s vyznačením oboru a specializace</w:t>
      </w:r>
      <w:bookmarkEnd w:id="34"/>
      <w:bookmarkEnd w:id="35"/>
      <w:bookmarkEnd w:id="36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7" w:name="_Toc456960408"/>
      <w:bookmarkStart w:id="38" w:name="_Toc471888053"/>
      <w:r>
        <w:lastRenderedPageBreak/>
        <w:t>OSVĚTLENÍ</w:t>
      </w:r>
      <w:bookmarkEnd w:id="37"/>
      <w:bookmarkEnd w:id="38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Pr="00E92888" w:rsidRDefault="00435A57" w:rsidP="00435A57">
      <w:pPr>
        <w:ind w:left="1211"/>
        <w:rPr>
          <w:b/>
        </w:rPr>
      </w:pPr>
      <w:r>
        <w:rPr>
          <w:b/>
        </w:rPr>
        <w:t>stávajícího a navrhovaného stavu, tz. dva proto</w:t>
      </w:r>
      <w:r w:rsidR="00881E52">
        <w:rPr>
          <w:b/>
        </w:rPr>
        <w:t xml:space="preserve">koly pro každou kmenovou učebnu a vzhledem k tomu, že činitel denní osvětlenosti je menší než 1,5 </w:t>
      </w:r>
      <w:r w:rsidR="00881E52" w:rsidRPr="00E92888">
        <w:rPr>
          <w:b/>
        </w:rPr>
        <w:t>% je výpočet doplněn o výpočet normálové osvětlenosti dle ČSN 36 0020 – Sdružené osvětlení.</w:t>
      </w:r>
    </w:p>
    <w:p w:rsidR="00E00533" w:rsidRPr="00E92888" w:rsidRDefault="00E00533" w:rsidP="00435A57">
      <w:pPr>
        <w:ind w:left="1211"/>
        <w:rPr>
          <w:b/>
        </w:rPr>
      </w:pPr>
      <w:r w:rsidRPr="00E92888">
        <w:rPr>
          <w:bCs/>
        </w:rPr>
        <w:t xml:space="preserve">Ve vnitřním prostoru se sdruženým osvětlením musí být </w:t>
      </w:r>
      <w:r w:rsidR="006331CA" w:rsidRPr="00E92888">
        <w:rPr>
          <w:bCs/>
        </w:rPr>
        <w:t xml:space="preserve">tedy </w:t>
      </w:r>
      <w:r w:rsidRPr="00E92888">
        <w:rPr>
          <w:bCs/>
        </w:rPr>
        <w:t>zachován dostatečný podíl denní složky, v závislosti na obtížnosti zrakových činností vyjádřené zařazením do tříd podle 3.7.ČSN 73 0580-1., musí být splněné minimální hodnoty činitele denní osvětelnosti. Průměrná hodnota činitele denní osvětelnosti 1% musí být splněna ve všech případech, tedy při bočním nebo kombinovaném osvětlení</w:t>
      </w:r>
    </w:p>
    <w:p w:rsidR="00E00533" w:rsidRPr="00E92888" w:rsidRDefault="00E00533" w:rsidP="00435A57">
      <w:pPr>
        <w:ind w:left="1211"/>
        <w:rPr>
          <w:b/>
        </w:rPr>
      </w:pPr>
    </w:p>
    <w:p w:rsidR="00881E52" w:rsidRPr="00E92888" w:rsidRDefault="00881E52" w:rsidP="00881E52">
      <w:pPr>
        <w:ind w:left="1211"/>
        <w:rPr>
          <w:b/>
        </w:rPr>
      </w:pPr>
      <w:r w:rsidRPr="00E92888">
        <w:rPr>
          <w:b/>
        </w:rPr>
        <w:t>Ve školách, kde je zraková třída IV je tedy minimální  hodnota 0,5 % a průměrná je 1%, nicméně v učebnách je toto dodrženo, může být použito tedy sdružené osvětlení. V případě vnitřních  prostorů s bočními osvětlovacími otvory se u udržovaných osvětleností 200 lx až 500 lx včetně,  navýší o jeden stupeň řady osvětelnosti podle 4.2 ČSN EN 12665.</w:t>
      </w:r>
    </w:p>
    <w:p w:rsidR="00881E52" w:rsidRPr="00E92888" w:rsidRDefault="00881E52" w:rsidP="00881E52">
      <w:pPr>
        <w:ind w:left="1211"/>
        <w:rPr>
          <w:b/>
        </w:rPr>
      </w:pPr>
    </w:p>
    <w:p w:rsidR="00881E52" w:rsidRPr="00E92888" w:rsidRDefault="00881E52" w:rsidP="00881E52">
      <w:r w:rsidRPr="00E92888">
        <w:t>Dále je i respektována</w:t>
      </w:r>
      <w:r w:rsidR="00860608" w:rsidRPr="00E92888">
        <w:t xml:space="preserve"> </w:t>
      </w:r>
      <w:r w:rsidRPr="00E92888">
        <w:t>vyhlášk</w:t>
      </w:r>
      <w:r w:rsidR="00860608" w:rsidRPr="00E92888">
        <w:t>a</w:t>
      </w:r>
      <w:r w:rsidRPr="00E92888">
        <w:t xml:space="preserve"> č. 410/2005 Sb. týkající se osvětlení, odstavec 1  neboť se jedná o kmenové učebny- dlouhodobý pobyt: </w:t>
      </w: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E92888">
        <w:rPr>
          <w:rFonts w:ascii="Courier New" w:hAnsi="Courier New" w:cs="Courier New"/>
          <w:sz w:val="20"/>
        </w:rPr>
        <w:t>Osvětlení</w:t>
      </w: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left"/>
        <w:rPr>
          <w:rFonts w:ascii="Courier New" w:hAnsi="Courier New" w:cs="Courier New"/>
          <w:sz w:val="20"/>
        </w:rPr>
      </w:pP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E92888">
        <w:rPr>
          <w:rFonts w:ascii="Courier New" w:hAnsi="Courier New" w:cs="Courier New"/>
          <w:sz w:val="20"/>
        </w:rPr>
        <w:t>§ 12</w:t>
      </w: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sz w:val="20"/>
        </w:rPr>
      </w:pPr>
    </w:p>
    <w:p w:rsidR="00881E52" w:rsidRPr="00E92888" w:rsidRDefault="00881E52" w:rsidP="00881E52">
      <w:pPr>
        <w:pStyle w:val="Odstavecseseznamem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Courier New" w:hAnsi="Courier New" w:cs="Courier New"/>
          <w:b/>
          <w:sz w:val="20"/>
        </w:rPr>
      </w:pPr>
      <w:r w:rsidRPr="00E92888">
        <w:rPr>
          <w:rFonts w:ascii="Courier New" w:hAnsi="Courier New" w:cs="Courier New"/>
          <w:b/>
          <w:sz w:val="20"/>
        </w:rPr>
        <w:t>Ve vnitřních prostorech budov zařízení pro výchovu a vzdělávání a</w:t>
      </w: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b/>
          <w:sz w:val="20"/>
        </w:rPr>
      </w:pPr>
      <w:r w:rsidRPr="00E92888">
        <w:rPr>
          <w:rFonts w:ascii="Courier New" w:hAnsi="Courier New" w:cs="Courier New"/>
          <w:b/>
          <w:sz w:val="20"/>
        </w:rPr>
        <w:t xml:space="preserve">    provozovnách pro výchovu a vzdělávání, určených k dlouhodobému pobytu</w:t>
      </w:r>
    </w:p>
    <w:p w:rsidR="00881E52" w:rsidRPr="00E92888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 w:hanging="426"/>
        <w:rPr>
          <w:rFonts w:ascii="Courier New" w:hAnsi="Courier New" w:cs="Courier New"/>
          <w:b/>
          <w:sz w:val="20"/>
        </w:rPr>
      </w:pPr>
      <w:r w:rsidRPr="00E92888">
        <w:rPr>
          <w:rFonts w:ascii="Courier New" w:hAnsi="Courier New" w:cs="Courier New"/>
          <w:b/>
          <w:sz w:val="20"/>
        </w:rPr>
        <w:t xml:space="preserve">    žáků, musí být vyhovující denní osvětlení odpovídající normovým požadavkům (ČSN 730580-1,2,3). </w:t>
      </w:r>
      <w:r w:rsidRPr="00E92888">
        <w:rPr>
          <w:rFonts w:ascii="Courier New" w:hAnsi="Courier New" w:cs="Courier New"/>
          <w:b/>
          <w:sz w:val="20"/>
          <w:u w:val="single"/>
        </w:rPr>
        <w:t>U užívaných staveb je po předchozím projednání s orgánem ochrany veřejného zdraví výjimečně možné použít celkové sdružené osvětlení. Toto osvětlení musí být v souladu s normovými požadavky české technické normy upravující sdružené osvětlení (ČSN 360020. Místa žáků v lavicích musí být v učebnách orientována tak, aby žáci nebyli v zorném poli oslňováni jasem osvětlovacích otvorů a ani si nestínili místo zrakového úkolu.</w:t>
      </w:r>
    </w:p>
    <w:p w:rsidR="00881E52" w:rsidRDefault="00881E52" w:rsidP="00881E52">
      <w:pPr>
        <w:ind w:left="1211"/>
        <w:rPr>
          <w:b/>
          <w:color w:val="FF0000"/>
        </w:rPr>
      </w:pPr>
    </w:p>
    <w:p w:rsidR="00881E52" w:rsidRPr="00881E52" w:rsidRDefault="00881E52" w:rsidP="00435A57">
      <w:pPr>
        <w:ind w:left="1211"/>
        <w:rPr>
          <w:b/>
          <w:color w:val="FF0000"/>
        </w:rPr>
      </w:pPr>
    </w:p>
    <w:p w:rsidR="00435A57" w:rsidRPr="00881E52" w:rsidRDefault="00435A57" w:rsidP="0052480A">
      <w:pPr>
        <w:ind w:left="0"/>
      </w:pPr>
      <w:r w:rsidRPr="00881E52">
        <w:t>Je řešen tedy 3D model jednotlivých učeben, s tím že jsou respektovány rozměry vyměňovaných oken a jejich navržené parametry včetně “zmenšené“ plochy okna z důvodu umístění větracích mřížek k rekuperačním jednotkám.</w:t>
      </w: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9" w:name="_Toc404702664"/>
      <w:bookmarkStart w:id="40" w:name="_Toc456960409"/>
      <w:bookmarkStart w:id="41" w:name="_Toc471888054"/>
      <w:r w:rsidRPr="0046723E">
        <w:lastRenderedPageBreak/>
        <w:t>Údaje o stavbě</w:t>
      </w:r>
      <w:bookmarkEnd w:id="39"/>
      <w:bookmarkEnd w:id="40"/>
      <w:bookmarkEnd w:id="41"/>
    </w:p>
    <w:p w:rsidR="00435A57" w:rsidRPr="0046723E" w:rsidRDefault="00435A57" w:rsidP="00435A57">
      <w:pPr>
        <w:pStyle w:val="Nadpis3"/>
        <w:ind w:left="851" w:hanging="284"/>
      </w:pPr>
      <w:bookmarkStart w:id="42" w:name="_Toc456960410"/>
      <w:bookmarkStart w:id="43" w:name="_Toc471888055"/>
      <w:bookmarkStart w:id="44" w:name="_Toc404702665"/>
      <w:r w:rsidRPr="0046723E">
        <w:t>Nová stavba nebo změna dokončené stavby</w:t>
      </w:r>
      <w:bookmarkEnd w:id="42"/>
      <w:bookmarkEnd w:id="43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5" w:name="_Toc456960411"/>
      <w:bookmarkStart w:id="46" w:name="_Toc471888056"/>
      <w:r w:rsidRPr="0046723E">
        <w:t>účel užívání stavby</w:t>
      </w:r>
      <w:bookmarkEnd w:id="44"/>
      <w:bookmarkEnd w:id="45"/>
      <w:bookmarkEnd w:id="46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7" w:name="_Toc404702666"/>
      <w:bookmarkStart w:id="48" w:name="_Toc456960412"/>
      <w:bookmarkStart w:id="49" w:name="_Toc471888057"/>
      <w:r w:rsidRPr="0046723E">
        <w:t>trvalá nebo dočasná stavba</w:t>
      </w:r>
      <w:bookmarkEnd w:id="47"/>
      <w:bookmarkEnd w:id="48"/>
      <w:bookmarkEnd w:id="49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50" w:name="_Toc404702667"/>
      <w:bookmarkStart w:id="51" w:name="_Toc456960413"/>
      <w:bookmarkStart w:id="52" w:name="_Toc471888058"/>
      <w:r w:rsidRPr="0046723E">
        <w:t>údaje o ochraně stavby podle jiných právních předpisů (kulturní památka apod.)</w:t>
      </w:r>
      <w:bookmarkEnd w:id="50"/>
      <w:bookmarkEnd w:id="51"/>
      <w:bookmarkEnd w:id="52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3" w:name="_Toc456960414"/>
      <w:bookmarkStart w:id="54" w:name="_Toc471888059"/>
      <w:r w:rsidRPr="0046723E">
        <w:t>údaje o dodržení technických požadavků na stavby a obecných tech. požadavků zabezpečující bezbariérové užívání staveb</w:t>
      </w:r>
      <w:bookmarkEnd w:id="53"/>
      <w:bookmarkEnd w:id="54"/>
    </w:p>
    <w:p w:rsidR="00435A57" w:rsidRPr="0046723E" w:rsidRDefault="00435A57" w:rsidP="00435A57">
      <w:r w:rsidRPr="0046723E">
        <w:t xml:space="preserve">Vyhl.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r w:rsidRPr="0046723E">
        <w:t>Vyhl. 398/2009 b., o obecných technických požadavcích zabezpečujících bezbariérové užívání staveb – ustanovení této vyhl. se dle §2 nepoužije.</w:t>
      </w:r>
    </w:p>
    <w:p w:rsidR="00435A57" w:rsidRPr="0046723E" w:rsidRDefault="00435A57" w:rsidP="00435A57">
      <w:r w:rsidRPr="0046723E"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5" w:name="_Toc456960415"/>
      <w:bookmarkStart w:id="56" w:name="_Toc471888060"/>
      <w:r w:rsidRPr="0046723E">
        <w:t>údaje o splnění požadavků dotčených orgánů a požadavků vyplývající z jiných právních  předpisů</w:t>
      </w:r>
      <w:bookmarkEnd w:id="55"/>
      <w:bookmarkEnd w:id="56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7" w:name="_Toc456960416"/>
      <w:bookmarkStart w:id="58" w:name="_Toc471888061"/>
      <w:r w:rsidRPr="0046723E">
        <w:t>seznam výjimek a úlevových řešení</w:t>
      </w:r>
      <w:bookmarkEnd w:id="57"/>
      <w:bookmarkEnd w:id="58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9" w:name="_Toc404702668"/>
      <w:bookmarkStart w:id="60" w:name="_Toc456960417"/>
      <w:bookmarkStart w:id="61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9"/>
      <w:bookmarkEnd w:id="60"/>
      <w:bookmarkEnd w:id="61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435A57" w:rsidRDefault="00435A57" w:rsidP="00435A57">
      <w:pPr>
        <w:pStyle w:val="Nadpis1"/>
        <w:numPr>
          <w:ilvl w:val="0"/>
          <w:numId w:val="0"/>
        </w:numPr>
        <w:ind w:left="1211"/>
        <w:jc w:val="left"/>
      </w:pPr>
    </w:p>
    <w:p w:rsidR="00D12B69" w:rsidRDefault="00B562BF" w:rsidP="00D12B69">
      <w:pPr>
        <w:pStyle w:val="Nadpis1"/>
        <w:ind w:left="1211" w:hanging="1211"/>
        <w:jc w:val="left"/>
      </w:pPr>
      <w:bookmarkStart w:id="62" w:name="_Toc471888063"/>
      <w:r>
        <w:t>SEZNAM KMENOVÝCH UČEBEN: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4" w:name="_Toc471888065"/>
      <w:r>
        <w:lastRenderedPageBreak/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4"/>
      <w:r>
        <w:t xml:space="preserve"> </w:t>
      </w:r>
    </w:p>
    <w:p w:rsidR="00B562BF" w:rsidRPr="00E92888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u w:val="single"/>
        </w:rPr>
      </w:pPr>
      <w:bookmarkStart w:id="65" w:name="_Toc471888066"/>
      <w:r w:rsidRPr="00E92888">
        <w:rPr>
          <w:u w:val="single"/>
        </w:rPr>
        <w:t>1.NP – 2 UČEBNY</w:t>
      </w:r>
      <w:r w:rsidR="00015986" w:rsidRPr="00E92888">
        <w:rPr>
          <w:u w:val="single"/>
        </w:rPr>
        <w:t xml:space="preserve"> </w:t>
      </w:r>
      <w:r w:rsidR="003A5B83" w:rsidRPr="00E92888">
        <w:rPr>
          <w:u w:val="single"/>
        </w:rPr>
        <w:t>(</w:t>
      </w:r>
      <w:r w:rsidR="00015986" w:rsidRPr="00E92888">
        <w:rPr>
          <w:u w:val="single"/>
        </w:rPr>
        <w:t>POLOHA VIZ PŘÍLOHA VZT)</w:t>
      </w:r>
      <w:bookmarkEnd w:id="65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6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7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7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8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8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Pr="003A5B83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B562BF" w:rsidRPr="00B562BF" w:rsidRDefault="00B562BF" w:rsidP="00015986">
      <w:pPr>
        <w:pStyle w:val="Nadpis3"/>
        <w:numPr>
          <w:ilvl w:val="0"/>
          <w:numId w:val="0"/>
        </w:numPr>
        <w:ind w:left="788"/>
      </w:pPr>
    </w:p>
    <w:p w:rsidR="00B562BF" w:rsidRDefault="00B562BF" w:rsidP="00015986">
      <w:pPr>
        <w:pStyle w:val="Nadpis1"/>
        <w:ind w:left="1211" w:hanging="1211"/>
        <w:jc w:val="left"/>
      </w:pPr>
      <w:r>
        <w:t xml:space="preserve"> </w:t>
      </w:r>
      <w:bookmarkStart w:id="69" w:name="_Toc471888070"/>
      <w:r w:rsidR="00015986">
        <w:t>SPECIFIKACE KMENOVÝCH UČEBEN:</w:t>
      </w:r>
      <w:bookmarkEnd w:id="69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</w:t>
      </w:r>
      <w:r w:rsidR="009A2AEC">
        <w:t xml:space="preserve"> (VIZ PŘÍLOHA)</w:t>
      </w:r>
      <w:r w:rsidR="003A5B83">
        <w:t>.</w:t>
      </w:r>
    </w:p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Minimální 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Průměrný 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 xml:space="preserve">menší než </w:t>
            </w: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9D4B51">
            <w:pPr>
              <w:ind w:left="0"/>
              <w:rPr>
                <w:b/>
              </w:rPr>
            </w:pPr>
            <w:r>
              <w:rPr>
                <w:b/>
              </w:rPr>
              <w:t>OBJEKT</w:t>
            </w:r>
            <w:r w:rsidR="00CD5A0B">
              <w:rPr>
                <w:b/>
              </w:rPr>
              <w:t xml:space="preserve"> </w:t>
            </w:r>
            <w:r w:rsidR="009D4B51">
              <w:rPr>
                <w:b/>
              </w:rPr>
              <w:t>C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9D4B51">
            <w:pPr>
              <w:ind w:left="0"/>
            </w:pPr>
            <w:r>
              <w:t>M</w:t>
            </w:r>
            <w:r w:rsidR="004B01F6">
              <w:t>1</w:t>
            </w:r>
            <w:r w:rsidR="009D4B51">
              <w:t>10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1504ED" w:rsidRPr="00E210FE" w:rsidRDefault="001504ED" w:rsidP="009D4B51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1,</w:t>
            </w:r>
            <w:r w:rsidR="009D4B51">
              <w:rPr>
                <w:color w:val="FF0000"/>
              </w:rPr>
              <w:t>1</w:t>
            </w:r>
          </w:p>
        </w:tc>
        <w:tc>
          <w:tcPr>
            <w:tcW w:w="1485" w:type="dxa"/>
          </w:tcPr>
          <w:p w:rsidR="001504ED" w:rsidRPr="00E210FE" w:rsidRDefault="001504ED" w:rsidP="009D4B51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</w:t>
            </w:r>
            <w:r w:rsidR="009D4B51">
              <w:rPr>
                <w:color w:val="FF0000"/>
              </w:rPr>
              <w:t>0</w:t>
            </w:r>
            <w:r w:rsidRPr="00E210FE">
              <w:rPr>
                <w:color w:val="FF0000"/>
              </w:rPr>
              <w:t>,</w:t>
            </w:r>
            <w:r w:rsidR="009D4B51">
              <w:rPr>
                <w:color w:val="FF0000"/>
              </w:rPr>
              <w:t>7</w:t>
            </w:r>
          </w:p>
        </w:tc>
        <w:tc>
          <w:tcPr>
            <w:tcW w:w="1511" w:type="dxa"/>
          </w:tcPr>
          <w:p w:rsidR="001504ED" w:rsidRPr="00E210FE" w:rsidRDefault="00881E52" w:rsidP="00881E52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504ED" w:rsidRPr="00E210FE">
              <w:rPr>
                <w:color w:val="FF0000"/>
              </w:rPr>
              <w:t>,</w:t>
            </w:r>
            <w:r>
              <w:rPr>
                <w:color w:val="FF0000"/>
              </w:rPr>
              <w:t>2</w:t>
            </w:r>
          </w:p>
        </w:tc>
        <w:tc>
          <w:tcPr>
            <w:tcW w:w="1559" w:type="dxa"/>
          </w:tcPr>
          <w:p w:rsidR="001504ED" w:rsidRPr="00317745" w:rsidRDefault="00881E52" w:rsidP="0079399C">
            <w:pPr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NE</w:t>
            </w:r>
            <w:r w:rsidR="001504ED" w:rsidRPr="00317745">
              <w:rPr>
                <w:b/>
                <w:color w:val="FF0000"/>
              </w:rPr>
              <w:t>VYHOVUJE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9D4B51">
            <w:pPr>
              <w:ind w:left="0"/>
            </w:pPr>
            <w:r>
              <w:t>M</w:t>
            </w:r>
            <w:r w:rsidR="004B01F6">
              <w:t>1</w:t>
            </w:r>
            <w:r w:rsidR="009D4B51">
              <w:t>10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1504ED" w:rsidRPr="004E2524" w:rsidRDefault="001504ED" w:rsidP="00881E52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1,</w:t>
            </w:r>
            <w:r w:rsidR="009D4B51">
              <w:rPr>
                <w:color w:val="FF0000"/>
              </w:rPr>
              <w:t>0</w:t>
            </w:r>
          </w:p>
        </w:tc>
        <w:tc>
          <w:tcPr>
            <w:tcW w:w="1485" w:type="dxa"/>
          </w:tcPr>
          <w:p w:rsidR="001504ED" w:rsidRPr="004E2524" w:rsidRDefault="009D4B51" w:rsidP="009D4B51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  <w:r w:rsidR="001504ED" w:rsidRPr="004E2524">
              <w:rPr>
                <w:color w:val="FF0000"/>
              </w:rPr>
              <w:t>,</w:t>
            </w:r>
            <w:r>
              <w:rPr>
                <w:color w:val="FF0000"/>
              </w:rPr>
              <w:t>8</w:t>
            </w:r>
          </w:p>
        </w:tc>
        <w:tc>
          <w:tcPr>
            <w:tcW w:w="1511" w:type="dxa"/>
          </w:tcPr>
          <w:p w:rsidR="001504ED" w:rsidRPr="004E2524" w:rsidRDefault="009D4B51" w:rsidP="009D4B51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504ED" w:rsidRPr="004E2524">
              <w:rPr>
                <w:color w:val="FF0000"/>
              </w:rPr>
              <w:t>,</w:t>
            </w:r>
            <w:r>
              <w:rPr>
                <w:color w:val="FF0000"/>
              </w:rPr>
              <w:t>0</w:t>
            </w:r>
          </w:p>
        </w:tc>
        <w:tc>
          <w:tcPr>
            <w:tcW w:w="1559" w:type="dxa"/>
          </w:tcPr>
          <w:p w:rsidR="001504ED" w:rsidRPr="00C70205" w:rsidRDefault="00881E52" w:rsidP="0079399C">
            <w:pPr>
              <w:ind w:left="0"/>
              <w:rPr>
                <w:b/>
                <w:color w:val="0070C0"/>
                <w:u w:val="single"/>
              </w:rPr>
            </w:pPr>
            <w:r>
              <w:rPr>
                <w:b/>
                <w:color w:val="FF0000"/>
                <w:u w:val="single"/>
              </w:rPr>
              <w:t>NE</w:t>
            </w:r>
            <w:r w:rsidR="001504ED" w:rsidRPr="00D176B5">
              <w:rPr>
                <w:b/>
                <w:color w:val="FF0000"/>
                <w:u w:val="single"/>
              </w:rPr>
              <w:t>VYHOVUJE</w:t>
            </w:r>
            <w:r w:rsidR="001504ED">
              <w:rPr>
                <w:b/>
                <w:color w:val="0070C0"/>
                <w:u w:val="single"/>
              </w:rPr>
              <w:t xml:space="preserve"> </w:t>
            </w:r>
          </w:p>
          <w:p w:rsidR="001504ED" w:rsidRPr="00D176B5" w:rsidRDefault="001504ED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F82B4F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 xml:space="preserve">že místnost </w:t>
      </w:r>
      <w:r w:rsidR="009D4B51">
        <w:rPr>
          <w:b/>
          <w:u w:val="single"/>
        </w:rPr>
        <w:t>110</w:t>
      </w:r>
      <w:r w:rsidRPr="00385411">
        <w:rPr>
          <w:b/>
          <w:u w:val="single"/>
        </w:rPr>
        <w:t xml:space="preserve"> dle normy ČSN 73 05 80 </w:t>
      </w:r>
      <w:r w:rsidR="00881E52">
        <w:rPr>
          <w:b/>
          <w:u w:val="single"/>
        </w:rPr>
        <w:t>ne</w:t>
      </w:r>
      <w:r w:rsidRPr="00385411">
        <w:rPr>
          <w:b/>
          <w:u w:val="single"/>
        </w:rPr>
        <w:t>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52480A" w:rsidRDefault="0052480A" w:rsidP="00385411">
      <w:pPr>
        <w:rPr>
          <w:b/>
          <w:u w:val="single"/>
        </w:rPr>
      </w:pPr>
    </w:p>
    <w:p w:rsidR="0052480A" w:rsidRDefault="0052480A" w:rsidP="00385411">
      <w:pPr>
        <w:rPr>
          <w:b/>
          <w:u w:val="single"/>
        </w:rPr>
      </w:pPr>
    </w:p>
    <w:p w:rsidR="0052480A" w:rsidRPr="00E92888" w:rsidRDefault="0052480A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  <w:r w:rsidRPr="00E92888">
        <w:rPr>
          <w:u w:val="single"/>
        </w:rPr>
        <w:t>Proto je tedy použito dodatečné umělé osvětlení dle „</w:t>
      </w:r>
      <w:r w:rsidRPr="00E92888">
        <w:rPr>
          <w:rFonts w:ascii="Tahoma" w:eastAsiaTheme="minorHAnsi" w:hAnsi="Tahoma" w:cs="Tahoma"/>
          <w:sz w:val="18"/>
          <w:szCs w:val="18"/>
          <w:lang w:eastAsia="en-US"/>
        </w:rPr>
        <w:t>Výpočtu osvětlenosti bodovou metodou dle EN 12464“ – viz protokol, kde jsou zaneseny jednotlivá osvětlovac</w:t>
      </w:r>
      <w:r w:rsidR="00E00533" w:rsidRPr="00E92888">
        <w:rPr>
          <w:rFonts w:ascii="Tahoma" w:eastAsiaTheme="minorHAnsi" w:hAnsi="Tahoma" w:cs="Tahoma"/>
          <w:sz w:val="18"/>
          <w:szCs w:val="18"/>
          <w:lang w:eastAsia="en-US"/>
        </w:rPr>
        <w:t>í tělesa:</w:t>
      </w:r>
    </w:p>
    <w:p w:rsidR="00E00533" w:rsidRPr="00E92888" w:rsidRDefault="00E00533" w:rsidP="00385411">
      <w:pPr>
        <w:rPr>
          <w:u w:val="single"/>
        </w:rPr>
      </w:pP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  <w:r w:rsidRPr="00E92888">
        <w:rPr>
          <w:rFonts w:ascii="Tahoma" w:eastAsiaTheme="minorHAnsi" w:hAnsi="Tahoma" w:cs="Tahoma"/>
          <w:sz w:val="18"/>
          <w:szCs w:val="18"/>
          <w:lang w:eastAsia="en-US"/>
        </w:rPr>
        <w:t>OFCE PAR 1x58W 1x58W, stropní – viz příloha- PROTOKOL</w:t>
      </w: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 xml:space="preserve">Požadovaná rovnoměrnost          </w:t>
      </w:r>
      <w:r w:rsidRPr="00E92888">
        <w:rPr>
          <w:rFonts w:ascii="Tahoma" w:hAnsi="Tahoma"/>
          <w:sz w:val="18"/>
          <w:szCs w:val="18"/>
          <w:lang w:eastAsia="en-US"/>
        </w:rPr>
        <w:t>0,00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 xml:space="preserve">Požadovaná hodnota                </w:t>
      </w:r>
      <w:r w:rsidRPr="00E92888">
        <w:rPr>
          <w:rFonts w:ascii="Tahoma" w:hAnsi="Tahoma"/>
          <w:sz w:val="18"/>
          <w:szCs w:val="18"/>
          <w:lang w:eastAsia="en-US"/>
        </w:rPr>
        <w:t>500,0 lx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 xml:space="preserve">Minimální hodnota                   </w:t>
      </w:r>
      <w:r w:rsidR="00B3446C" w:rsidRPr="00E92888">
        <w:rPr>
          <w:rFonts w:ascii="Tahoma" w:eastAsiaTheme="minorHAnsi" w:hAnsi="Tahoma" w:cs="Tahoma"/>
          <w:sz w:val="18"/>
          <w:szCs w:val="18"/>
          <w:lang w:eastAsia="en-US"/>
        </w:rPr>
        <w:t>325,7 lx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lastRenderedPageBreak/>
        <w:t xml:space="preserve">Maximální hodnota                  </w:t>
      </w:r>
      <w:r w:rsidR="00B3446C" w:rsidRPr="00E92888">
        <w:rPr>
          <w:rFonts w:ascii="Tahoma" w:eastAsiaTheme="minorHAnsi" w:hAnsi="Tahoma" w:cs="Tahoma"/>
          <w:sz w:val="18"/>
          <w:szCs w:val="18"/>
          <w:lang w:eastAsia="en-US"/>
        </w:rPr>
        <w:t>679,5 lx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 xml:space="preserve">Udržovaná osvětlenost             </w:t>
      </w:r>
      <w:r w:rsidR="00B3446C" w:rsidRPr="00E92888">
        <w:rPr>
          <w:rFonts w:ascii="Tahoma" w:eastAsiaTheme="minorHAnsi" w:hAnsi="Tahoma" w:cs="Tahoma"/>
          <w:sz w:val="18"/>
          <w:szCs w:val="18"/>
          <w:lang w:eastAsia="en-US"/>
        </w:rPr>
        <w:t>540,3 lx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 xml:space="preserve">Rovnoměrnost </w:t>
      </w:r>
      <w:r w:rsidRPr="00E92888">
        <w:rPr>
          <w:rFonts w:ascii="Tahoma" w:hAnsi="Tahoma"/>
          <w:sz w:val="18"/>
          <w:szCs w:val="18"/>
          <w:lang w:eastAsia="en-US"/>
        </w:rPr>
        <w:t>0,56</w:t>
      </w: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hAnsi="Tahoma" w:cs="Tahoma"/>
          <w:sz w:val="18"/>
          <w:szCs w:val="18"/>
          <w:lang w:eastAsia="en-US"/>
        </w:rPr>
        <w:t>Udržovací činitel</w:t>
      </w:r>
      <w:r w:rsidRPr="00E92888">
        <w:rPr>
          <w:rFonts w:ascii="Tahoma" w:hAnsi="Tahoma"/>
          <w:sz w:val="18"/>
          <w:szCs w:val="18"/>
          <w:lang w:eastAsia="en-US"/>
        </w:rPr>
        <w:t>0,66</w:t>
      </w: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E92888" w:rsidRDefault="00E00533" w:rsidP="00385411">
      <w:pPr>
        <w:rPr>
          <w:rFonts w:ascii="Tahoma" w:eastAsiaTheme="minorHAnsi" w:hAnsi="Tahoma" w:cs="Tahoma"/>
          <w:sz w:val="18"/>
          <w:szCs w:val="18"/>
          <w:lang w:eastAsia="en-US"/>
        </w:rPr>
      </w:pPr>
    </w:p>
    <w:p w:rsidR="00E00533" w:rsidRPr="00E92888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sz w:val="18"/>
          <w:szCs w:val="18"/>
          <w:lang w:eastAsia="en-US"/>
        </w:rPr>
      </w:pPr>
      <w:r w:rsidRPr="00E92888">
        <w:rPr>
          <w:rFonts w:ascii="Tahoma" w:eastAsiaTheme="minorHAnsi" w:hAnsi="Tahoma" w:cs="Tahoma"/>
          <w:sz w:val="18"/>
          <w:szCs w:val="18"/>
          <w:lang w:eastAsia="en-US"/>
        </w:rPr>
        <w:t>Z DANÝCH HODNOT – požadovaná hodnota 500 lx a „</w:t>
      </w:r>
      <w:r w:rsidRPr="00E92888">
        <w:rPr>
          <w:rFonts w:ascii="Tahoma" w:hAnsi="Tahoma" w:cs="Tahoma"/>
          <w:sz w:val="18"/>
          <w:szCs w:val="18"/>
          <w:lang w:eastAsia="en-US"/>
        </w:rPr>
        <w:t xml:space="preserve">Udržovaná osvětlenost              </w:t>
      </w:r>
      <w:r w:rsidR="00B3446C" w:rsidRPr="00E92888">
        <w:rPr>
          <w:rFonts w:ascii="Tahoma" w:eastAsiaTheme="minorHAnsi" w:hAnsi="Tahoma" w:cs="Tahoma"/>
          <w:sz w:val="18"/>
          <w:szCs w:val="18"/>
          <w:lang w:eastAsia="en-US"/>
        </w:rPr>
        <w:t>540,3 lx</w:t>
      </w:r>
      <w:r w:rsidRPr="00E92888">
        <w:rPr>
          <w:rFonts w:ascii="Tahoma" w:hAnsi="Tahoma"/>
          <w:sz w:val="18"/>
          <w:szCs w:val="18"/>
          <w:lang w:eastAsia="en-US"/>
        </w:rPr>
        <w:t xml:space="preserve">“ je zřejmé, že </w:t>
      </w:r>
      <w:r w:rsidR="006073FD" w:rsidRPr="00E92888">
        <w:rPr>
          <w:rFonts w:ascii="Tahoma" w:hAnsi="Tahoma"/>
          <w:sz w:val="18"/>
          <w:szCs w:val="18"/>
          <w:lang w:eastAsia="en-US"/>
        </w:rPr>
        <w:t>doplnění o umělé osvětlení VYHOVUJE</w:t>
      </w:r>
    </w:p>
    <w:p w:rsidR="00E92888" w:rsidRPr="008003BF" w:rsidRDefault="00E92888" w:rsidP="00E92888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rPr>
          <w:rFonts w:ascii="Tahoma" w:hAnsi="Tahoma"/>
          <w:sz w:val="18"/>
          <w:szCs w:val="18"/>
          <w:lang w:eastAsia="en-US"/>
        </w:rPr>
        <w:t xml:space="preserve">Daná skutečnost a hodnoty byly přímo konzultovány s jednateli dodaného SW </w:t>
      </w:r>
      <w:hyperlink r:id="rId11" w:history="1">
        <w:r w:rsidRPr="008003BF">
          <w:rPr>
            <w:rStyle w:val="Hypertextovodkaz"/>
            <w:color w:val="auto"/>
          </w:rPr>
          <w:t>WILS 7.0 - Návrh a výpočet umělého osvětlení</w:t>
        </w:r>
      </w:hyperlink>
      <w:r w:rsidRPr="008003BF">
        <w:t xml:space="preserve">, </w:t>
      </w:r>
      <w:hyperlink r:id="rId12" w:history="1">
        <w:r w:rsidRPr="008003BF">
          <w:rPr>
            <w:rStyle w:val="Hypertextovodkaz"/>
            <w:color w:val="auto"/>
          </w:rPr>
          <w:t>WDLS 5.0 - Výpočet denního osvětlení</w:t>
        </w:r>
      </w:hyperlink>
      <w:r w:rsidRPr="008003BF">
        <w:rPr>
          <w:rFonts w:ascii="Tahoma" w:hAnsi="Tahoma"/>
          <w:sz w:val="18"/>
          <w:szCs w:val="18"/>
          <w:lang w:eastAsia="en-US"/>
        </w:rPr>
        <w:t>:</w:t>
      </w:r>
    </w:p>
    <w:p w:rsidR="00E92888" w:rsidRPr="008003BF" w:rsidRDefault="00E92888" w:rsidP="00E92888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t>ASTRA MS Software s.r.o.</w:t>
      </w:r>
    </w:p>
    <w:p w:rsidR="00E00533" w:rsidRPr="00E00533" w:rsidRDefault="00E92888" w:rsidP="00E92888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  <w:r w:rsidRPr="008003BF">
        <w:rPr>
          <w:rFonts w:ascii="Arial" w:hAnsi="Arial" w:cs="Arial"/>
          <w:sz w:val="18"/>
          <w:szCs w:val="18"/>
        </w:rPr>
        <w:t xml:space="preserve">Ing. Pavel Staněk, jednatel, obor elektro, tel. +420 777 565 045, </w:t>
      </w:r>
      <w:hyperlink r:id="rId13" w:history="1">
        <w:r w:rsidRPr="008003BF">
          <w:rPr>
            <w:rStyle w:val="Hypertextovodkaz"/>
            <w:rFonts w:ascii="Arial" w:hAnsi="Arial"/>
            <w:color w:val="auto"/>
            <w:sz w:val="18"/>
            <w:szCs w:val="18"/>
          </w:rPr>
          <w:t>pavel.stanek@astrasw.cz</w:t>
        </w:r>
      </w:hyperlink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>V případě odstavení VZT jednotek je požadovanou výměnu vzduchu v místnosti možné zajistit přirozeným větráním otevíravými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4"/>
      <w:footerReference w:type="default" r:id="rId15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6154">
            <w:rPr>
              <w:rFonts w:ascii="Arial Narrow" w:hAnsi="Arial Narrow"/>
              <w:noProof/>
              <w:color w:val="808080"/>
              <w:sz w:val="18"/>
              <w:szCs w:val="18"/>
            </w:rPr>
            <w:t>OBJ_2NP_C_110_NAVRH_NEVYHOVUJE_DOPLNENO_UMELE_OSVETLENI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6154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6154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6154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19D2194"/>
    <w:multiLevelType w:val="hybridMultilevel"/>
    <w:tmpl w:val="6F36C7A4"/>
    <w:lvl w:ilvl="0" w:tplc="A1D88E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504ED"/>
    <w:rsid w:val="00161223"/>
    <w:rsid w:val="00161B4B"/>
    <w:rsid w:val="00175D78"/>
    <w:rsid w:val="00182041"/>
    <w:rsid w:val="001834B3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6154"/>
    <w:rsid w:val="00275391"/>
    <w:rsid w:val="00275DE3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1F6"/>
    <w:rsid w:val="004B03F2"/>
    <w:rsid w:val="004B1EB7"/>
    <w:rsid w:val="004E2524"/>
    <w:rsid w:val="004E3432"/>
    <w:rsid w:val="0050797B"/>
    <w:rsid w:val="0051069C"/>
    <w:rsid w:val="00511F1C"/>
    <w:rsid w:val="0051363A"/>
    <w:rsid w:val="0052480A"/>
    <w:rsid w:val="005325E7"/>
    <w:rsid w:val="0053536A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3FD"/>
    <w:rsid w:val="0060783C"/>
    <w:rsid w:val="0061060A"/>
    <w:rsid w:val="00611607"/>
    <w:rsid w:val="006144DE"/>
    <w:rsid w:val="006331CA"/>
    <w:rsid w:val="0064168A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5410C"/>
    <w:rsid w:val="00860608"/>
    <w:rsid w:val="008623A0"/>
    <w:rsid w:val="00862469"/>
    <w:rsid w:val="00881E52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714C8"/>
    <w:rsid w:val="009927A3"/>
    <w:rsid w:val="0099340E"/>
    <w:rsid w:val="009A2AEC"/>
    <w:rsid w:val="009D4B51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3446C"/>
    <w:rsid w:val="00B562BF"/>
    <w:rsid w:val="00B8276A"/>
    <w:rsid w:val="00B87F2D"/>
    <w:rsid w:val="00BB396D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A112B"/>
    <w:rsid w:val="00DC59EC"/>
    <w:rsid w:val="00E00533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92888"/>
    <w:rsid w:val="00ED1F0E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vel.stanek@astrasw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strasw.cz/cs/wdl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trasw.cz/cs/wils-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C711E-FB64-4747-AE4A-F38E9CF2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2056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7</cp:revision>
  <cp:lastPrinted>2017-04-07T12:22:00Z</cp:lastPrinted>
  <dcterms:created xsi:type="dcterms:W3CDTF">2017-04-04T13:32:00Z</dcterms:created>
  <dcterms:modified xsi:type="dcterms:W3CDTF">2017-04-07T12:41:00Z</dcterms:modified>
</cp:coreProperties>
</file>