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BD3480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Pr="001A1D37">
        <w:rPr>
          <w:rFonts w:ascii="Arial" w:hAnsi="Arial" w:cs="Arial"/>
          <w:noProof w:val="0"/>
          <w:color w:val="auto"/>
          <w:sz w:val="20"/>
        </w:rPr>
        <w:t xml:space="preserve">v </w:t>
      </w:r>
      <w:r w:rsidR="0082062C" w:rsidRPr="001A1D37">
        <w:rPr>
          <w:rFonts w:ascii="Arial" w:hAnsi="Arial" w:cs="Arial"/>
          <w:sz w:val="20"/>
        </w:rPr>
        <w:t>odborném ořezu</w:t>
      </w:r>
      <w:r w:rsidR="001804DF">
        <w:rPr>
          <w:rFonts w:ascii="Arial" w:hAnsi="Arial" w:cs="Arial"/>
          <w:sz w:val="20"/>
          <w:lang w:val="cs-CZ"/>
        </w:rPr>
        <w:t xml:space="preserve"> 46 ks</w:t>
      </w:r>
      <w:r w:rsidR="0082062C" w:rsidRPr="001A1D37">
        <w:rPr>
          <w:rFonts w:ascii="Arial" w:hAnsi="Arial" w:cs="Arial"/>
          <w:sz w:val="20"/>
        </w:rPr>
        <w:t xml:space="preserve"> tzv. hlavatých vrb rostoucích </w:t>
      </w:r>
      <w:r w:rsidR="001804DF">
        <w:rPr>
          <w:rFonts w:ascii="Arial" w:hAnsi="Arial" w:cs="Arial"/>
          <w:sz w:val="20"/>
          <w:lang w:val="cs-CZ"/>
        </w:rPr>
        <w:t xml:space="preserve">při pravém i levém břehu potoka Trotina na </w:t>
      </w:r>
      <w:r w:rsidR="0082062C" w:rsidRPr="001A1D37">
        <w:rPr>
          <w:rFonts w:ascii="Arial" w:hAnsi="Arial" w:cs="Arial"/>
          <w:sz w:val="20"/>
        </w:rPr>
        <w:t>pozem</w:t>
      </w:r>
      <w:r w:rsidR="001804DF">
        <w:rPr>
          <w:rFonts w:ascii="Arial" w:hAnsi="Arial" w:cs="Arial"/>
          <w:sz w:val="20"/>
          <w:lang w:val="cs-CZ"/>
        </w:rPr>
        <w:t xml:space="preserve">cích </w:t>
      </w:r>
      <w:r w:rsidR="0082062C" w:rsidRPr="001A1D37">
        <w:rPr>
          <w:rFonts w:ascii="Arial" w:hAnsi="Arial" w:cs="Arial"/>
          <w:sz w:val="20"/>
        </w:rPr>
        <w:t>p. č. 2199 a 2282 v k. ú. Lochenice. Vzniklá biomasa bude z území přírodní památky odklizena</w:t>
      </w:r>
      <w:r w:rsidR="0082062C"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 w:rsidRPr="00942C51">
        <w:rPr>
          <w:rFonts w:ascii="Arial" w:hAnsi="Arial" w:cs="Arial"/>
          <w:noProof w:val="0"/>
          <w:color w:val="auto"/>
          <w:sz w:val="20"/>
        </w:rPr>
        <w:t>(dále jen „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1A1D37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provede dílo nejpozději v období </w:t>
      </w:r>
      <w:r w:rsidRPr="001A1D37">
        <w:rPr>
          <w:rFonts w:ascii="Arial" w:hAnsi="Arial" w:cs="Arial"/>
          <w:b/>
          <w:noProof w:val="0"/>
          <w:color w:val="auto"/>
          <w:sz w:val="20"/>
        </w:rPr>
        <w:t xml:space="preserve">do </w:t>
      </w:r>
      <w:r w:rsidR="00971296">
        <w:rPr>
          <w:rFonts w:ascii="Arial" w:hAnsi="Arial" w:cs="Arial"/>
          <w:b/>
          <w:noProof w:val="0"/>
          <w:color w:val="auto"/>
          <w:sz w:val="20"/>
          <w:lang w:val="cs-CZ"/>
        </w:rPr>
        <w:t>15</w:t>
      </w:r>
      <w:r w:rsidRPr="001A1D37">
        <w:rPr>
          <w:rFonts w:ascii="Arial" w:hAnsi="Arial" w:cs="Arial"/>
          <w:b/>
          <w:noProof w:val="0"/>
          <w:color w:val="auto"/>
          <w:sz w:val="20"/>
        </w:rPr>
        <w:t xml:space="preserve">. </w:t>
      </w:r>
      <w:r w:rsidR="00971296">
        <w:rPr>
          <w:rFonts w:ascii="Arial" w:hAnsi="Arial" w:cs="Arial"/>
          <w:b/>
          <w:noProof w:val="0"/>
          <w:color w:val="auto"/>
          <w:sz w:val="20"/>
          <w:lang w:val="cs-CZ"/>
        </w:rPr>
        <w:t>4</w:t>
      </w:r>
      <w:r w:rsidRPr="001A1D37">
        <w:rPr>
          <w:rFonts w:ascii="Arial" w:hAnsi="Arial" w:cs="Arial"/>
          <w:b/>
          <w:noProof w:val="0"/>
          <w:color w:val="auto"/>
          <w:sz w:val="20"/>
        </w:rPr>
        <w:t>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1804DF"/>
    <w:rsid w:val="001A1D37"/>
    <w:rsid w:val="002B3603"/>
    <w:rsid w:val="00355FC3"/>
    <w:rsid w:val="00495729"/>
    <w:rsid w:val="006B6E3F"/>
    <w:rsid w:val="0082062C"/>
    <w:rsid w:val="00845534"/>
    <w:rsid w:val="008E12A3"/>
    <w:rsid w:val="00942C51"/>
    <w:rsid w:val="00971296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D1EC4"/>
    <w:rsid w:val="00CF6D3C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9</cp:revision>
  <cp:lastPrinted>2018-02-27T11:46:00Z</cp:lastPrinted>
  <dcterms:created xsi:type="dcterms:W3CDTF">2018-02-05T12:05:00Z</dcterms:created>
  <dcterms:modified xsi:type="dcterms:W3CDTF">2018-02-27T11:47:00Z</dcterms:modified>
</cp:coreProperties>
</file>