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B" w:rsidRPr="00BF2672" w:rsidRDefault="00886DB4" w:rsidP="00890DAD">
      <w:pPr>
        <w:pStyle w:val="Nzev"/>
        <w:spacing w:before="0" w:after="120"/>
        <w:rPr>
          <w:rFonts w:cs="Arial"/>
          <w:color w:val="000000"/>
          <w:sz w:val="28"/>
        </w:rPr>
      </w:pPr>
      <w:bookmarkStart w:id="0" w:name="_GoBack"/>
      <w:bookmarkEnd w:id="0"/>
      <w:r>
        <w:rPr>
          <w:rFonts w:cs="Arial"/>
          <w:color w:val="000000"/>
          <w:sz w:val="28"/>
        </w:rPr>
        <w:t>Kupní smlouva</w: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78082A">
        <w:rPr>
          <w:rFonts w:cs="Arial"/>
          <w:b w:val="0"/>
          <w:color w:val="000000"/>
          <w:sz w:val="20"/>
        </w:rPr>
        <w:pict>
          <v:rect id="_x0000_i1025" style="width:453.55pt;height:1pt" o:hralign="center" o:hrstd="t" o:hrnoshade="t" o:hr="t" fillcolor="black [3213]" stroked="f"/>
        </w:pic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  <w:r w:rsidR="007A7DD2">
        <w:rPr>
          <w:rFonts w:ascii="Arial" w:hAnsi="Arial" w:cs="Arial"/>
          <w:sz w:val="20"/>
          <w:szCs w:val="20"/>
        </w:rPr>
        <w:t>, hejtman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</w:t>
      </w:r>
      <w:proofErr w:type="spellStart"/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dopln</w:t>
      </w:r>
      <w:proofErr w:type="spellEnd"/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B0377B" w:rsidRDefault="00B0377B" w:rsidP="00CB7FD7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7A7DD2" w:rsidRPr="00550AAC">
        <w:rPr>
          <w:rFonts w:ascii="Arial" w:hAnsi="Arial" w:cs="Arial"/>
          <w:b/>
        </w:rPr>
        <w:t>Zlepšení infrastruktury a inovace vybavení odloučeného pracoviště SUPŠ HNN v Brněnské ulici</w:t>
      </w:r>
      <w:r w:rsidR="007A7DD2" w:rsidRPr="00CA1C26" w:rsidDel="00CA1C26">
        <w:rPr>
          <w:rFonts w:ascii="Arial" w:hAnsi="Arial" w:cs="Arial"/>
          <w:b/>
        </w:rPr>
        <w:t xml:space="preserve"> </w:t>
      </w:r>
      <w:r w:rsidR="007A7DD2" w:rsidRPr="00CA1C26">
        <w:rPr>
          <w:rFonts w:ascii="Arial" w:hAnsi="Arial" w:cs="Arial"/>
          <w:b/>
        </w:rPr>
        <w:t>-  vybavení pro praktickou výuku</w:t>
      </w:r>
      <w:r w:rsidR="00582AF9">
        <w:rPr>
          <w:rFonts w:ascii="Arial" w:hAnsi="Arial" w:cs="Arial"/>
          <w:b/>
        </w:rPr>
        <w:t xml:space="preserve"> II</w:t>
      </w:r>
      <w:r w:rsidR="00E02794">
        <w:rPr>
          <w:rFonts w:ascii="Arial" w:hAnsi="Arial" w:cs="Arial"/>
          <w:b/>
        </w:rPr>
        <w:t>I</w:t>
      </w:r>
      <w:r w:rsidRPr="00844706">
        <w:rPr>
          <w:rFonts w:ascii="Arial" w:hAnsi="Arial" w:cs="Arial"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F930B3" w:rsidRPr="00F930B3">
        <w:rPr>
          <w:rFonts w:ascii="Arial" w:hAnsi="Arial" w:cs="Arial"/>
          <w:color w:val="000000"/>
          <w:highlight w:val="cyan"/>
        </w:rPr>
        <w:t>………</w:t>
      </w:r>
      <w:r w:rsidR="005C5F2E" w:rsidDel="005C5F2E">
        <w:rPr>
          <w:rFonts w:ascii="Arial" w:hAnsi="Arial" w:cs="Arial"/>
          <w:color w:val="000000"/>
        </w:rPr>
        <w:t xml:space="preserve"> </w:t>
      </w:r>
      <w:r w:rsidR="00CC2655">
        <w:rPr>
          <w:rFonts w:ascii="Arial" w:hAnsi="Arial" w:cs="Arial"/>
          <w:color w:val="000000"/>
        </w:rPr>
        <w:t>(dále jen „veřejná zakázka“)</w:t>
      </w:r>
      <w:r w:rsidR="002347CB">
        <w:rPr>
          <w:rFonts w:ascii="Arial" w:hAnsi="Arial" w:cs="Arial"/>
          <w:color w:val="000000"/>
        </w:rPr>
        <w:t>.</w:t>
      </w:r>
    </w:p>
    <w:p w:rsidR="00663650" w:rsidRDefault="00663650" w:rsidP="0066365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7A7DD2" w:rsidRPr="00550AAC">
        <w:rPr>
          <w:rFonts w:ascii="Arial" w:hAnsi="Arial" w:cs="Arial"/>
          <w:b/>
        </w:rPr>
        <w:t>Zlepšení infrastruktury a inovace vybavení odloučeného pracoviště SUPŠ HNN v Brněnské ulici</w:t>
      </w:r>
      <w:r w:rsidRPr="00762D09">
        <w:rPr>
          <w:rFonts w:ascii="Arial" w:hAnsi="Arial" w:cs="Arial"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7A7DD2">
        <w:rPr>
          <w:rFonts w:ascii="Arial" w:hAnsi="Arial" w:cs="Arial"/>
          <w:color w:val="000000"/>
        </w:rPr>
        <w:t>CZ.06.2.67/0.0/0.0/16_050/0002502</w:t>
      </w:r>
      <w:r w:rsidR="007A7DD2" w:rsidRPr="00762D09">
        <w:rPr>
          <w:rFonts w:ascii="Arial" w:hAnsi="Arial" w:cs="Arial"/>
          <w:color w:val="000000"/>
        </w:rPr>
        <w:t xml:space="preserve"> </w:t>
      </w:r>
      <w:r w:rsidRPr="00762D09">
        <w:rPr>
          <w:rFonts w:ascii="Arial" w:hAnsi="Arial" w:cs="Arial"/>
          <w:color w:val="000000"/>
        </w:rPr>
        <w:t>(dále jen „projekt“), který je předmětem žádosti o podporu z Integrovaného regionálního operačního programu</w:t>
      </w:r>
      <w:r w:rsidR="0096453F">
        <w:rPr>
          <w:rFonts w:ascii="Arial" w:hAnsi="Arial" w:cs="Arial"/>
          <w:color w:val="000000"/>
        </w:rPr>
        <w:t>, výzvy č. 33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A7DD2">
        <w:rPr>
          <w:rFonts w:ascii="Arial" w:hAnsi="Arial" w:cs="Arial"/>
          <w:iCs/>
          <w:color w:val="000000"/>
        </w:rPr>
        <w:t xml:space="preserve">Nenabyde-li tato </w:t>
      </w:r>
      <w:r w:rsidRPr="007A7DD2">
        <w:rPr>
          <w:rFonts w:ascii="Arial" w:hAnsi="Arial" w:cs="Arial"/>
          <w:iCs/>
        </w:rPr>
        <w:t>smlouva účinnosti dle odst. 2 do</w:t>
      </w:r>
      <w:r w:rsidR="007A7DD2">
        <w:rPr>
          <w:rFonts w:ascii="Arial" w:hAnsi="Arial" w:cs="Arial"/>
          <w:iCs/>
        </w:rPr>
        <w:t xml:space="preserve"> 1. 6. 2018</w:t>
      </w:r>
      <w:r w:rsidRPr="007A7DD2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7A7DD2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7A7DD2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7A7DD2">
        <w:rPr>
          <w:rFonts w:ascii="Arial" w:hAnsi="Arial" w:cs="Arial"/>
          <w:iCs/>
          <w:color w:val="000000"/>
        </w:rPr>
        <w:t>.</w:t>
      </w:r>
    </w:p>
    <w:p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582AF9">
        <w:rPr>
          <w:rFonts w:ascii="Arial" w:hAnsi="Arial" w:cs="Arial"/>
        </w:rPr>
        <w:t>PhDr. Jiří Štěpán, Ph.D., hejtman</w:t>
      </w:r>
    </w:p>
    <w:p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582AF9">
        <w:rPr>
          <w:rFonts w:ascii="Arial" w:hAnsi="Arial" w:cs="Arial"/>
          <w:color w:val="000000"/>
        </w:rPr>
        <w:t xml:space="preserve">Ing. Jan </w:t>
      </w:r>
      <w:proofErr w:type="spellStart"/>
      <w:r w:rsidR="00582AF9">
        <w:rPr>
          <w:rFonts w:ascii="Arial" w:hAnsi="Arial" w:cs="Arial"/>
          <w:color w:val="000000"/>
        </w:rPr>
        <w:t>Opitz</w:t>
      </w:r>
      <w:proofErr w:type="spellEnd"/>
      <w:r w:rsidR="00582AF9">
        <w:rPr>
          <w:rFonts w:ascii="Arial" w:hAnsi="Arial" w:cs="Arial"/>
          <w:color w:val="000000"/>
        </w:rPr>
        <w:t>, Ing. Roman Sedlák</w:t>
      </w:r>
    </w:p>
    <w:p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6453F">
        <w:rPr>
          <w:rFonts w:ascii="Arial" w:hAnsi="Arial" w:cs="Arial"/>
          <w:color w:val="000000"/>
        </w:rPr>
        <w:t xml:space="preserve">Ing. Jan </w:t>
      </w:r>
      <w:proofErr w:type="spellStart"/>
      <w:r w:rsidR="0096453F">
        <w:rPr>
          <w:rFonts w:ascii="Arial" w:hAnsi="Arial" w:cs="Arial"/>
          <w:color w:val="000000"/>
        </w:rPr>
        <w:t>Opitz</w:t>
      </w:r>
      <w:proofErr w:type="spellEnd"/>
    </w:p>
    <w:p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</w:t>
      </w:r>
      <w:proofErr w:type="spellStart"/>
      <w:r w:rsidR="002347CB" w:rsidRPr="002347CB">
        <w:rPr>
          <w:rFonts w:ascii="Arial" w:hAnsi="Arial" w:cs="Arial"/>
          <w:color w:val="000000"/>
          <w:highlight w:val="yellow"/>
          <w:lang w:val="en-US"/>
        </w:rPr>
        <w:t>dopln</w:t>
      </w:r>
      <w:proofErr w:type="spellEnd"/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="00F930B3" w:rsidRPr="00F930B3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5C5F2E">
        <w:rPr>
          <w:rFonts w:ascii="Arial" w:hAnsi="Arial" w:cs="Arial"/>
          <w:color w:val="000000"/>
        </w:rPr>
        <w:t>této smlouvy</w:t>
      </w:r>
      <w:r w:rsidR="005C5F2E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smlouvy:</w:t>
      </w:r>
    </w:p>
    <w:p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 včetně výkazu výměr (položkový rozpočet)</w:t>
      </w:r>
    </w:p>
    <w:p w:rsidR="00261C40" w:rsidRPr="003906FF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 w:rsidRPr="007A7DD2">
        <w:rPr>
          <w:rFonts w:ascii="Arial" w:hAnsi="Arial" w:cs="Arial"/>
          <w:color w:val="000000"/>
        </w:rPr>
        <w:t xml:space="preserve">Vybraná vysvětlení zadávací dokumentace </w:t>
      </w:r>
      <w:r w:rsidRPr="003906FF">
        <w:rPr>
          <w:rFonts w:ascii="Arial" w:hAnsi="Arial" w:cs="Arial"/>
          <w:color w:val="000000"/>
        </w:rPr>
        <w:t xml:space="preserve">(bude doplněno </w:t>
      </w:r>
      <w:r w:rsidR="00886DB4" w:rsidRPr="003906FF">
        <w:rPr>
          <w:rFonts w:ascii="Arial" w:hAnsi="Arial" w:cs="Arial"/>
          <w:color w:val="000000"/>
        </w:rPr>
        <w:t>kupující</w:t>
      </w:r>
      <w:r w:rsidRPr="003906FF">
        <w:rPr>
          <w:rFonts w:ascii="Arial" w:hAnsi="Arial" w:cs="Arial"/>
          <w:color w:val="000000"/>
        </w:rPr>
        <w:t xml:space="preserve">m </w:t>
      </w:r>
    </w:p>
    <w:p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3906FF">
        <w:rPr>
          <w:rFonts w:ascii="Arial" w:hAnsi="Arial" w:cs="Arial"/>
          <w:color w:val="000000"/>
        </w:rPr>
        <w:t>před podpisem</w:t>
      </w:r>
      <w:r w:rsidRPr="003906FF">
        <w:rPr>
          <w:rFonts w:ascii="Arial" w:hAnsi="Arial" w:cs="Arial"/>
          <w:color w:val="000000"/>
        </w:rPr>
        <w:tab/>
        <w:t>smlouvy)</w:t>
      </w:r>
    </w:p>
    <w:p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5C5F2E">
        <w:rPr>
          <w:rFonts w:ascii="Arial" w:hAnsi="Arial" w:cs="Arial"/>
          <w:color w:val="000000"/>
        </w:rPr>
        <w:t>předmětu smlouvy</w:t>
      </w:r>
      <w:r w:rsidR="005C5F2E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:rsidR="00E676C5" w:rsidRPr="00E676C5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7A7DD2">
        <w:rPr>
          <w:rFonts w:ascii="Arial" w:hAnsi="Arial" w:cs="Arial"/>
          <w:color w:val="000000"/>
        </w:rPr>
        <w:t xml:space="preserve">1 ks pásové pily, 1 ks formátovací pily, 1 ks pásové brusky a 1 ks dlabačky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:rsidR="00E676C5" w:rsidRPr="00E676C5" w:rsidRDefault="00E676C5" w:rsidP="007A7DD2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7A7DD2" w:rsidRPr="007A7DD2">
        <w:rPr>
          <w:rFonts w:ascii="Arial" w:hAnsi="Arial" w:cs="Arial"/>
          <w:color w:val="000000"/>
        </w:rPr>
        <w:t>odloučené pracoviště Střední uměleckoprůmyslové školy hudebních nástrojů a nábytku Hradec Králové, 17. listopadu 1202, v Brněnské ulici.</w:t>
      </w:r>
      <w:r w:rsidRPr="00E676C5">
        <w:rPr>
          <w:rFonts w:ascii="Arial" w:hAnsi="Arial" w:cs="Arial"/>
          <w:color w:val="000000"/>
        </w:rPr>
        <w:t xml:space="preserve"> Předmět smlouvy bude dodán </w:t>
      </w:r>
      <w:r w:rsidR="00D81877" w:rsidRPr="007E6D6D">
        <w:rPr>
          <w:rFonts w:ascii="Arial" w:hAnsi="Arial" w:cs="Arial"/>
          <w:color w:val="000000"/>
        </w:rPr>
        <w:t xml:space="preserve">prodávajícím do sídla uživatele pořízeného zboží na </w:t>
      </w:r>
      <w:r w:rsidR="0096453F" w:rsidRPr="005C00CA">
        <w:rPr>
          <w:rFonts w:ascii="Arial" w:hAnsi="Arial" w:cs="Arial"/>
          <w:color w:val="000000"/>
        </w:rPr>
        <w:t>Brněnská 207, Hradec Králové 500 12</w:t>
      </w:r>
      <w:r w:rsidR="0096453F">
        <w:rPr>
          <w:rFonts w:ascii="Arial" w:hAnsi="Arial" w:cs="Arial"/>
          <w:color w:val="000000"/>
        </w:rPr>
        <w:t>.</w:t>
      </w:r>
    </w:p>
    <w:p w:rsidR="00E676C5" w:rsidRPr="00E676C5" w:rsidRDefault="00E676C5" w:rsidP="00066059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7A7DD2">
        <w:rPr>
          <w:rFonts w:ascii="Arial" w:hAnsi="Arial" w:cs="Arial"/>
          <w:color w:val="000000"/>
        </w:rPr>
        <w:t xml:space="preserve">5 měsíců </w:t>
      </w:r>
      <w:r w:rsidRPr="00E676C5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  <w:r w:rsidR="00066059">
        <w:rPr>
          <w:rFonts w:ascii="Arial" w:hAnsi="Arial" w:cs="Arial"/>
          <w:color w:val="000000"/>
        </w:rPr>
        <w:t xml:space="preserve"> </w:t>
      </w:r>
      <w:r w:rsidR="00066059" w:rsidRPr="00066059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nejméně </w:t>
      </w:r>
      <w:r w:rsidR="0096453F" w:rsidRPr="0096453F">
        <w:rPr>
          <w:rFonts w:ascii="Arial" w:hAnsi="Arial" w:cs="Arial"/>
          <w:color w:val="000000"/>
        </w:rPr>
        <w:t>5</w:t>
      </w:r>
      <w:r w:rsidRPr="0096453F">
        <w:rPr>
          <w:rFonts w:ascii="Arial" w:hAnsi="Arial" w:cs="Arial"/>
          <w:color w:val="000000"/>
        </w:rPr>
        <w:t xml:space="preserve"> pracovní</w:t>
      </w:r>
      <w:r w:rsidR="0096453F" w:rsidRPr="0096453F">
        <w:rPr>
          <w:rFonts w:ascii="Arial" w:hAnsi="Arial" w:cs="Arial"/>
          <w:color w:val="000000"/>
        </w:rPr>
        <w:t>ch</w:t>
      </w:r>
      <w:r w:rsidRPr="0096453F">
        <w:rPr>
          <w:rFonts w:ascii="Arial" w:hAnsi="Arial" w:cs="Arial"/>
          <w:color w:val="000000"/>
        </w:rPr>
        <w:t xml:space="preserve"> dn</w:t>
      </w:r>
      <w:r w:rsidR="0096453F" w:rsidRPr="0096453F">
        <w:rPr>
          <w:rFonts w:ascii="Arial" w:hAnsi="Arial" w:cs="Arial"/>
          <w:color w:val="000000"/>
        </w:rPr>
        <w:t>ů</w:t>
      </w:r>
      <w:r w:rsidRPr="00E676C5">
        <w:rPr>
          <w:rFonts w:ascii="Arial" w:hAnsi="Arial" w:cs="Arial"/>
          <w:color w:val="000000"/>
        </w:rPr>
        <w:t xml:space="preserve"> 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:rsidR="00B0377B" w:rsidRPr="00844706" w:rsidRDefault="007041A1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</w:t>
      </w:r>
      <w:r w:rsidR="00B0377B" w:rsidRPr="00844706">
        <w:rPr>
          <w:rFonts w:ascii="Arial" w:hAnsi="Arial" w:cs="Arial"/>
          <w:b/>
          <w:color w:val="000000"/>
          <w:sz w:val="20"/>
          <w:szCs w:val="20"/>
        </w:rPr>
        <w:t xml:space="preserve">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96453F">
        <w:rPr>
          <w:rFonts w:ascii="Arial" w:hAnsi="Arial" w:cs="Arial"/>
          <w:color w:val="000000"/>
        </w:rPr>
        <w:t>2</w:t>
      </w:r>
      <w:r w:rsidRPr="007E6D6D">
        <w:rPr>
          <w:rFonts w:ascii="Arial" w:hAnsi="Arial" w:cs="Arial"/>
          <w:color w:val="000000"/>
        </w:rPr>
        <w:t xml:space="preserve"> týdnů </w:t>
      </w:r>
      <w:r w:rsidR="005C1F42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</w:t>
      </w:r>
      <w:r>
        <w:rPr>
          <w:rFonts w:ascii="Arial" w:hAnsi="Arial" w:cs="Arial"/>
          <w:color w:val="000000"/>
        </w:rPr>
        <w:lastRenderedPageBreak/>
        <w:t xml:space="preserve">předmětu koupě bránit nebude. Do protokolu se uvede, že plnění akceptováno nebylo. </w:t>
      </w:r>
      <w:r w:rsidR="005C5F2E">
        <w:rPr>
          <w:rFonts w:ascii="Arial" w:hAnsi="Arial" w:cs="Arial"/>
          <w:color w:val="000000"/>
        </w:rPr>
        <w:t>Po odstranění vad se kontrolní procedura opakuje.</w:t>
      </w:r>
    </w:p>
    <w:p w:rsidR="008A481E" w:rsidRPr="007E6D6D" w:rsidRDefault="005C1F42" w:rsidP="0096453F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proofErr w:type="gramStart"/>
      <w:r w:rsidR="003B755E" w:rsidRPr="003B755E">
        <w:rPr>
          <w:rFonts w:ascii="Arial" w:hAnsi="Arial" w:cs="Arial"/>
          <w:color w:val="000000"/>
        </w:rPr>
        <w:t>této</w:t>
      </w:r>
      <w:proofErr w:type="gramEnd"/>
      <w:r w:rsidR="003B755E" w:rsidRPr="003B755E">
        <w:rPr>
          <w:rFonts w:ascii="Arial" w:hAnsi="Arial" w:cs="Arial"/>
          <w:color w:val="000000"/>
        </w:rPr>
        <w:t xml:space="preserve">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Kupní cena za realizaci předmětu smlouvy bude uhrazena</w:t>
      </w:r>
      <w:r w:rsidR="007A7DD2">
        <w:rPr>
          <w:rFonts w:ascii="Arial" w:hAnsi="Arial" w:cs="Arial"/>
          <w:color w:val="000000"/>
        </w:rPr>
        <w:t xml:space="preserve"> jednorázově</w:t>
      </w:r>
      <w:r w:rsidR="0096453F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na základě daňového dokladu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</w:t>
      </w:r>
      <w:r w:rsidRPr="009C1D7B">
        <w:rPr>
          <w:rFonts w:ascii="Arial" w:hAnsi="Arial" w:cs="Arial"/>
          <w:color w:val="000000"/>
        </w:rPr>
        <w:lastRenderedPageBreak/>
        <w:t>prodávajícímu k doplnění, aniž se dostane do prodlení se splatností. Lhůta splatnosti začíná běžet znovu od opětovného doručení náležitě doplněné či opravené faktury.</w:t>
      </w:r>
    </w:p>
    <w:p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5C5F2E">
        <w:rPr>
          <w:rFonts w:ascii="Arial" w:hAnsi="Arial" w:cs="Arial"/>
          <w:color w:val="000000"/>
        </w:rPr>
        <w:t>předmětu smlouvy</w:t>
      </w:r>
      <w:r w:rsidR="005C5F2E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s odkazem na příslušnou část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 w:rsidR="0049108D">
        <w:rPr>
          <w:rFonts w:ascii="Arial" w:hAnsi="Arial" w:cs="Arial"/>
          <w:color w:val="000000"/>
        </w:rPr>
        <w:t>24</w:t>
      </w:r>
      <w:r w:rsidR="00E753E5"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 w:rsidR="00AF4EB0">
        <w:rPr>
          <w:rFonts w:ascii="Arial" w:hAnsi="Arial" w:cs="Arial"/>
          <w:color w:val="000000"/>
        </w:rPr>
        <w:t xml:space="preserve"> 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 xml:space="preserve">Nahlášení servisního zásahu musí být doručeno prodávajícímu buď elektronicky případně telefonicky a musí obsahovat všechny údaje v souladu s touto Smlouvou.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Pracovními hodinami se stanovuje časové rozmezí od </w:t>
      </w:r>
      <w:r w:rsidR="0096453F">
        <w:rPr>
          <w:rFonts w:ascii="Arial" w:hAnsi="Arial" w:cs="Arial"/>
          <w:color w:val="000000"/>
        </w:rPr>
        <w:t>7</w:t>
      </w:r>
      <w:r w:rsidRPr="009C1D7B">
        <w:rPr>
          <w:rFonts w:ascii="Arial" w:hAnsi="Arial" w:cs="Arial"/>
          <w:color w:val="000000"/>
        </w:rPr>
        <w:t>:00 do 1</w:t>
      </w:r>
      <w:r w:rsidR="0096453F">
        <w:rPr>
          <w:rFonts w:ascii="Arial" w:hAnsi="Arial" w:cs="Arial"/>
          <w:color w:val="000000"/>
        </w:rPr>
        <w:t>5</w:t>
      </w:r>
      <w:r w:rsidRPr="009C1D7B">
        <w:rPr>
          <w:rFonts w:ascii="Arial" w:hAnsi="Arial" w:cs="Arial"/>
          <w:color w:val="000000"/>
        </w:rPr>
        <w:t>:</w:t>
      </w:r>
      <w:r w:rsidR="0096453F">
        <w:rPr>
          <w:rFonts w:ascii="Arial" w:hAnsi="Arial" w:cs="Arial"/>
          <w:color w:val="000000"/>
        </w:rPr>
        <w:t>3</w:t>
      </w:r>
      <w:r w:rsidRPr="009C1D7B">
        <w:rPr>
          <w:rFonts w:ascii="Arial" w:hAnsi="Arial" w:cs="Arial"/>
          <w:color w:val="000000"/>
        </w:rPr>
        <w:t>0, a to v pracovních dnech. Zbývající doba je definována jako mimopracovní hodiny.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:rsidR="00582AF9" w:rsidRDefault="00582AF9" w:rsidP="00582AF9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:rsidR="00582AF9" w:rsidRPr="00CD1233" w:rsidRDefault="00582AF9" w:rsidP="00582AF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>Prodávající je povinen zahájit bezplatné odstraňování reklamované vady vždy neprodleně</w:t>
      </w:r>
      <w:r>
        <w:rPr>
          <w:rFonts w:ascii="Arial" w:hAnsi="Arial" w:cs="Arial"/>
          <w:color w:val="000000"/>
        </w:rPr>
        <w:t>, není-li stanoveno jinak</w:t>
      </w:r>
      <w:r w:rsidRPr="007E1090">
        <w:rPr>
          <w:rFonts w:ascii="Arial" w:hAnsi="Arial" w:cs="Arial"/>
          <w:color w:val="000000"/>
        </w:rPr>
        <w:t xml:space="preserve">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Odstoupí-li některá ze stran od této smlouvy, ať již na základě smluvního ujednání či ustanovení zákona, stanovují strany svá práva a povinnosti, trvající i po odstoupení od smlouvy, takto: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</w:t>
      </w:r>
      <w:r w:rsidRPr="002C349D">
        <w:rPr>
          <w:rFonts w:ascii="Arial" w:hAnsi="Arial" w:cs="Arial"/>
          <w:color w:val="000000"/>
        </w:rPr>
        <w:lastRenderedPageBreak/>
        <w:t xml:space="preserve">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5C5F2E">
        <w:rPr>
          <w:rFonts w:ascii="Arial" w:hAnsi="Arial" w:cs="Arial"/>
          <w:color w:val="000000"/>
        </w:rPr>
        <w:t>předmětu smlouvy</w:t>
      </w:r>
      <w:r w:rsidR="005C5F2E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 xml:space="preserve">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lastRenderedPageBreak/>
        <w:t>Závěrečná ustanovení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 s výkazem výměr</w:t>
      </w:r>
      <w:r w:rsidRPr="007455D1">
        <w:rPr>
          <w:rFonts w:ascii="Arial" w:hAnsi="Arial" w:cs="Arial"/>
          <w:b/>
          <w:color w:val="000000"/>
        </w:rPr>
        <w:t>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:rsidR="007455D1" w:rsidRPr="0000760C" w:rsidRDefault="007A7DD2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:rsidR="007455D1" w:rsidRPr="0000760C" w:rsidRDefault="007A7DD2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D" w:rsidRDefault="003F0F5D">
      <w:r>
        <w:separator/>
      </w:r>
    </w:p>
  </w:endnote>
  <w:endnote w:type="continuationSeparator" w:id="0">
    <w:p w:rsidR="003F0F5D" w:rsidRDefault="003F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C5" w:rsidRDefault="00F930B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F930B3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F930B3" w:rsidRPr="007E79C1">
      <w:rPr>
        <w:rStyle w:val="slostrnky"/>
        <w:rFonts w:ascii="Arial" w:hAnsi="Arial" w:cs="Arial"/>
        <w:sz w:val="16"/>
      </w:rPr>
      <w:fldChar w:fldCharType="separate"/>
    </w:r>
    <w:r w:rsidR="0078082A">
      <w:rPr>
        <w:rStyle w:val="slostrnky"/>
        <w:rFonts w:ascii="Arial" w:hAnsi="Arial" w:cs="Arial"/>
        <w:noProof/>
        <w:sz w:val="16"/>
      </w:rPr>
      <w:t>2</w:t>
    </w:r>
    <w:r w:rsidR="00F930B3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F930B3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F930B3" w:rsidRPr="007E79C1">
      <w:rPr>
        <w:rStyle w:val="slostrnky"/>
        <w:rFonts w:ascii="Arial" w:hAnsi="Arial" w:cs="Arial"/>
        <w:sz w:val="16"/>
      </w:rPr>
      <w:fldChar w:fldCharType="separate"/>
    </w:r>
    <w:r w:rsidR="0078082A">
      <w:rPr>
        <w:rStyle w:val="slostrnky"/>
        <w:rFonts w:ascii="Arial" w:hAnsi="Arial" w:cs="Arial"/>
        <w:noProof/>
        <w:sz w:val="16"/>
      </w:rPr>
      <w:t>9</w:t>
    </w:r>
    <w:r w:rsidR="00F930B3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D" w:rsidRDefault="003F0F5D">
      <w:r>
        <w:separator/>
      </w:r>
    </w:p>
  </w:footnote>
  <w:footnote w:type="continuationSeparator" w:id="0">
    <w:p w:rsidR="003F0F5D" w:rsidRDefault="003F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93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1567"/>
    <w:rsid w:val="000626E7"/>
    <w:rsid w:val="0006292D"/>
    <w:rsid w:val="00062CC2"/>
    <w:rsid w:val="0006320D"/>
    <w:rsid w:val="0006380A"/>
    <w:rsid w:val="000655D1"/>
    <w:rsid w:val="00066059"/>
    <w:rsid w:val="0007236A"/>
    <w:rsid w:val="00072D48"/>
    <w:rsid w:val="000737D8"/>
    <w:rsid w:val="00074F09"/>
    <w:rsid w:val="00077015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C7D08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6FF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0F5D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0419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2AF9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5F2E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41A1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47BBF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082A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CB4"/>
    <w:rsid w:val="00797F4C"/>
    <w:rsid w:val="007A1A6C"/>
    <w:rsid w:val="007A1C2E"/>
    <w:rsid w:val="007A1CC4"/>
    <w:rsid w:val="007A4C82"/>
    <w:rsid w:val="007A6A5D"/>
    <w:rsid w:val="007A7CD0"/>
    <w:rsid w:val="007A7DD2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0DAD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1D70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565D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3F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531D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6A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2B12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2794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2A1A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19C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0B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9B0F6-F67C-4F27-9AE4-F1F9BCE2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3463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23818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Jarmila Konečná</cp:lastModifiedBy>
  <cp:revision>16</cp:revision>
  <cp:lastPrinted>2018-02-21T10:11:00Z</cp:lastPrinted>
  <dcterms:created xsi:type="dcterms:W3CDTF">2017-02-21T07:54:00Z</dcterms:created>
  <dcterms:modified xsi:type="dcterms:W3CDTF">2018-02-21T10:43:00Z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