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5228" w14:textId="586438AA"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bookmarkStart w:id="0" w:name="_GoBack"/>
      <w:bookmarkEnd w:id="0"/>
      <w:r>
        <w:rPr>
          <w:rFonts w:cs="Arial"/>
          <w:color w:val="000000"/>
          <w:sz w:val="28"/>
        </w:rPr>
        <w:t>Kupní smlouva</w:t>
      </w:r>
    </w:p>
    <w:p w14:paraId="122C5229" w14:textId="07E7C03D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D20CE3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8D461F7"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4B48463A"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 xml:space="preserve">PhDr. Jiří </w:t>
      </w:r>
      <w:r w:rsidR="007F3B85">
        <w:rPr>
          <w:rFonts w:ascii="Arial" w:hAnsi="Arial" w:cs="Arial"/>
          <w:sz w:val="20"/>
          <w:szCs w:val="20"/>
        </w:rPr>
        <w:t>Š</w:t>
      </w:r>
      <w:r w:rsidR="00DA75F1">
        <w:rPr>
          <w:rFonts w:ascii="Arial" w:hAnsi="Arial" w:cs="Arial"/>
          <w:sz w:val="20"/>
          <w:szCs w:val="20"/>
        </w:rPr>
        <w:t>těpán, Ph.D.</w:t>
      </w:r>
    </w:p>
    <w:p w14:paraId="122C5233" w14:textId="26F7EEDD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122C5234" w14:textId="00932EB8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2F858485" w14:textId="130B966E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2B0D0361"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[dopln</w:t>
      </w:r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778A096E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122C5240" w14:textId="27448F4B"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2ED472CB" w14:textId="0C39F6E8"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7392D03C" w:rsidR="00B0377B" w:rsidRDefault="00B0377B" w:rsidP="00B078F4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>veřejné zakázky nazvané</w:t>
      </w:r>
      <w:r w:rsidRPr="000C221F">
        <w:rPr>
          <w:rFonts w:ascii="Arial" w:hAnsi="Arial" w:cs="Arial"/>
          <w:b/>
          <w:color w:val="000000"/>
        </w:rPr>
        <w:t xml:space="preserve"> </w:t>
      </w:r>
      <w:r w:rsidR="00B078F4" w:rsidRPr="000C221F">
        <w:rPr>
          <w:rFonts w:ascii="Arial" w:hAnsi="Arial" w:cs="Arial"/>
          <w:b/>
          <w:color w:val="000000"/>
        </w:rPr>
        <w:t>„Další etapa modernizace technického vybavení pro unikátní obory SPŠKS v Hořicích - VZ na dodavatele konektivity a PC včetně příslušenství</w:t>
      </w:r>
      <w:r w:rsidR="000B0FF7">
        <w:rPr>
          <w:rFonts w:ascii="Arial" w:hAnsi="Arial" w:cs="Arial"/>
          <w:b/>
          <w:color w:val="000000"/>
        </w:rPr>
        <w:t xml:space="preserve"> II</w:t>
      </w:r>
      <w:r w:rsidR="00B078F4">
        <w:rPr>
          <w:rFonts w:ascii="Arial" w:hAnsi="Arial" w:cs="Arial"/>
          <w:b/>
          <w:color w:val="000000"/>
        </w:rPr>
        <w:t>“</w:t>
      </w:r>
      <w:r w:rsidR="000C221F" w:rsidRPr="001B2EBA">
        <w:rPr>
          <w:rFonts w:ascii="Arial" w:hAnsi="Arial" w:cs="Arial"/>
          <w:color w:val="000000"/>
        </w:rPr>
        <w:t>.</w:t>
      </w:r>
      <w:r w:rsidR="00B078F4" w:rsidRPr="000C221F" w:rsidDel="00B078F4">
        <w:rPr>
          <w:rFonts w:ascii="Arial" w:hAnsi="Arial" w:cs="Arial"/>
          <w:b/>
          <w:color w:val="000000"/>
        </w:rPr>
        <w:t xml:space="preserve"> </w:t>
      </w:r>
      <w:r w:rsidR="002347CB">
        <w:rPr>
          <w:rFonts w:ascii="Arial" w:hAnsi="Arial" w:cs="Arial"/>
          <w:color w:val="000000"/>
        </w:rPr>
        <w:t>Veřejná zakázka byla oznámena ve Věstníku veřejných zakázek pod evidenčním číslem</w:t>
      </w:r>
      <w:r w:rsidR="00AB4C71">
        <w:rPr>
          <w:rFonts w:ascii="Arial" w:hAnsi="Arial" w:cs="Arial"/>
          <w:color w:val="000000"/>
        </w:rPr>
        <w:t xml:space="preserve"> </w:t>
      </w:r>
      <w:r w:rsidR="000B0FF7">
        <w:rPr>
          <w:rFonts w:ascii="Arial" w:hAnsi="Arial" w:cs="Arial"/>
          <w:color w:val="000000"/>
        </w:rPr>
        <w:t>………</w:t>
      </w:r>
      <w:r w:rsidR="00CC2655">
        <w:rPr>
          <w:rFonts w:ascii="Arial" w:hAnsi="Arial" w:cs="Arial"/>
          <w:color w:val="000000"/>
        </w:rPr>
        <w:t>(dále jen „veřejná zakázka“)</w:t>
      </w:r>
      <w:r w:rsidR="002347CB">
        <w:rPr>
          <w:rFonts w:ascii="Arial" w:hAnsi="Arial" w:cs="Arial"/>
          <w:color w:val="000000"/>
        </w:rPr>
        <w:t>.</w:t>
      </w:r>
    </w:p>
    <w:p w14:paraId="4444DB88" w14:textId="5A157717" w:rsidR="00663650" w:rsidRDefault="00663650" w:rsidP="00663650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„</w:t>
      </w:r>
      <w:r w:rsidR="00244202" w:rsidRPr="004229C2">
        <w:rPr>
          <w:rFonts w:ascii="Arial" w:hAnsi="Arial" w:cs="Arial"/>
          <w:iCs/>
        </w:rPr>
        <w:t>Další etapa modernizace technického vybavení pro unikátní obory SPŠKS v Hořicích</w:t>
      </w:r>
      <w:r w:rsidRPr="004229C2">
        <w:rPr>
          <w:rFonts w:ascii="Arial" w:hAnsi="Arial" w:cs="Arial"/>
          <w:iCs/>
        </w:rPr>
        <w:t>“</w:t>
      </w:r>
      <w:r w:rsidR="00B0461C" w:rsidRPr="00103E8E">
        <w:rPr>
          <w:rFonts w:ascii="Arial" w:hAnsi="Arial" w:cs="Arial"/>
          <w:iCs/>
        </w:rPr>
        <w:t xml:space="preserve"> </w:t>
      </w:r>
      <w:r w:rsidR="007F6C74" w:rsidRPr="004229C2">
        <w:rPr>
          <w:rFonts w:ascii="Arial" w:hAnsi="Arial" w:cs="Arial"/>
          <w:iCs/>
        </w:rPr>
        <w:t>s</w:t>
      </w:r>
      <w:r w:rsidR="007F6C74" w:rsidRPr="00103E8E">
        <w:rPr>
          <w:rFonts w:ascii="Arial" w:hAnsi="Arial" w:cs="Arial"/>
          <w:color w:val="000000"/>
        </w:rPr>
        <w:t xml:space="preserve"> registračním číslem </w:t>
      </w:r>
      <w:r w:rsidR="00103E8E" w:rsidRPr="004229C2">
        <w:rPr>
          <w:rFonts w:ascii="Arial" w:hAnsi="Arial" w:cs="Arial"/>
          <w:color w:val="000000"/>
        </w:rPr>
        <w:t>CZ.06.2.67/0.0/0.0/16_050/0002051</w:t>
      </w:r>
      <w:r w:rsidRPr="004229C2">
        <w:rPr>
          <w:rFonts w:ascii="Arial" w:hAnsi="Arial" w:cs="Arial"/>
          <w:color w:val="000000"/>
        </w:rPr>
        <w:t xml:space="preserve"> (dále jen</w:t>
      </w:r>
      <w:r w:rsidRPr="00762D09">
        <w:rPr>
          <w:rFonts w:ascii="Arial" w:hAnsi="Arial" w:cs="Arial"/>
          <w:color w:val="000000"/>
        </w:rPr>
        <w:t xml:space="preserve"> „projekt“), který je předmětem žádosti o podporu z Integrovaného regionálního operačního programu</w:t>
      </w:r>
      <w:r w:rsidR="000C4AF3">
        <w:rPr>
          <w:rFonts w:ascii="Arial" w:hAnsi="Arial" w:cs="Arial"/>
          <w:color w:val="000000"/>
        </w:rPr>
        <w:t>, výzva č. 33</w:t>
      </w:r>
      <w:r w:rsidRPr="00762D09">
        <w:rPr>
          <w:rFonts w:ascii="Arial" w:hAnsi="Arial" w:cs="Arial"/>
          <w:color w:val="000000"/>
        </w:rPr>
        <w:t>. Tato smlouva nenabyde účinnosti dříve, než</w:t>
      </w:r>
      <w:r>
        <w:rPr>
          <w:rFonts w:ascii="Arial" w:hAnsi="Arial" w:cs="Arial"/>
          <w:color w:val="000000"/>
        </w:rPr>
        <w:t>:</w:t>
      </w:r>
    </w:p>
    <w:p w14:paraId="20A6C228" w14:textId="55B15037"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14:paraId="38733287" w14:textId="0325BE60"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14:paraId="001DF5A2" w14:textId="2B515C39"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C4AF3">
        <w:rPr>
          <w:rFonts w:ascii="Arial" w:hAnsi="Arial" w:cs="Arial"/>
          <w:iCs/>
          <w:color w:val="000000"/>
        </w:rPr>
        <w:t xml:space="preserve">Nenabyde-li tato </w:t>
      </w:r>
      <w:r w:rsidRPr="000C4AF3">
        <w:rPr>
          <w:rFonts w:ascii="Arial" w:hAnsi="Arial" w:cs="Arial"/>
          <w:iCs/>
        </w:rPr>
        <w:t>smlouva účinnosti dle odst. 2 do</w:t>
      </w:r>
      <w:r w:rsidR="00905E83">
        <w:rPr>
          <w:rFonts w:ascii="Arial" w:hAnsi="Arial" w:cs="Arial"/>
          <w:iCs/>
        </w:rPr>
        <w:t xml:space="preserve"> </w:t>
      </w:r>
      <w:r w:rsidR="00905E83" w:rsidRPr="00B8688D">
        <w:rPr>
          <w:rFonts w:ascii="Arial" w:hAnsi="Arial" w:cs="Arial"/>
          <w:iCs/>
        </w:rPr>
        <w:t>30.4.2018</w:t>
      </w:r>
      <w:r w:rsidRPr="00B8688D">
        <w:rPr>
          <w:rFonts w:ascii="Arial" w:hAnsi="Arial" w:cs="Arial"/>
          <w:iCs/>
        </w:rPr>
        <w:t>,</w:t>
      </w:r>
      <w:r w:rsidRPr="000C4AF3">
        <w:rPr>
          <w:rFonts w:ascii="Arial" w:hAnsi="Arial" w:cs="Arial"/>
          <w:iCs/>
        </w:rPr>
        <w:t xml:space="preserve">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0C4AF3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0C4AF3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0C4AF3">
        <w:rPr>
          <w:rFonts w:ascii="Arial" w:hAnsi="Arial" w:cs="Arial"/>
          <w:iCs/>
          <w:color w:val="000000"/>
        </w:rPr>
        <w:t>.</w:t>
      </w:r>
    </w:p>
    <w:p w14:paraId="122C5244" w14:textId="4D01AF37" w:rsidR="0080710F" w:rsidRPr="00CE306A" w:rsidRDefault="007F6C74" w:rsidP="004229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="00B0377B"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58FAD52D"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093E8E29" w14:textId="2C35DB9B" w:rsidR="002347CB" w:rsidRPr="004229C2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4229C2">
        <w:rPr>
          <w:rFonts w:ascii="Arial" w:hAnsi="Arial" w:cs="Arial"/>
          <w:color w:val="000000"/>
        </w:rPr>
        <w:t xml:space="preserve">zástupce </w:t>
      </w:r>
      <w:r w:rsidR="00886DB4" w:rsidRPr="004229C2">
        <w:rPr>
          <w:rFonts w:ascii="Arial" w:hAnsi="Arial" w:cs="Arial"/>
          <w:color w:val="000000"/>
        </w:rPr>
        <w:t>kupujícího</w:t>
      </w:r>
      <w:r w:rsidRPr="004229C2">
        <w:rPr>
          <w:rFonts w:ascii="Arial" w:hAnsi="Arial" w:cs="Arial"/>
          <w:color w:val="000000"/>
        </w:rPr>
        <w:t xml:space="preserve"> ve věcech smluvních</w:t>
      </w:r>
      <w:r w:rsidRPr="004229C2">
        <w:rPr>
          <w:rFonts w:ascii="Arial" w:hAnsi="Arial" w:cs="Arial"/>
          <w:color w:val="000000"/>
        </w:rPr>
        <w:tab/>
      </w:r>
      <w:r w:rsidR="00997E70">
        <w:rPr>
          <w:rFonts w:ascii="Arial" w:hAnsi="Arial" w:cs="Arial"/>
          <w:color w:val="000000"/>
        </w:rPr>
        <w:t>PhDr. Jiří Štěpán, Ph.D.</w:t>
      </w:r>
    </w:p>
    <w:p w14:paraId="122C5247" w14:textId="4331E1F1" w:rsidR="00B0377B" w:rsidRPr="004229C2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4229C2">
        <w:rPr>
          <w:rFonts w:ascii="Arial" w:hAnsi="Arial" w:cs="Arial"/>
          <w:color w:val="000000"/>
        </w:rPr>
        <w:t xml:space="preserve">zástupce </w:t>
      </w:r>
      <w:r w:rsidR="00886DB4" w:rsidRPr="004229C2">
        <w:rPr>
          <w:rFonts w:ascii="Arial" w:hAnsi="Arial" w:cs="Arial"/>
          <w:color w:val="000000"/>
        </w:rPr>
        <w:t>kupujícího</w:t>
      </w:r>
      <w:r w:rsidRPr="004229C2">
        <w:rPr>
          <w:rFonts w:ascii="Arial" w:hAnsi="Arial" w:cs="Arial"/>
          <w:color w:val="000000"/>
        </w:rPr>
        <w:t xml:space="preserve"> ve věcech technických</w:t>
      </w:r>
      <w:r w:rsidR="002347CB" w:rsidRPr="004229C2">
        <w:rPr>
          <w:rFonts w:ascii="Arial" w:hAnsi="Arial" w:cs="Arial"/>
          <w:color w:val="000000"/>
        </w:rPr>
        <w:tab/>
      </w:r>
      <w:r w:rsidR="00844C68">
        <w:rPr>
          <w:rFonts w:ascii="Arial" w:hAnsi="Arial" w:cs="Arial"/>
          <w:color w:val="000000"/>
        </w:rPr>
        <w:t>Veronika Janderová, Ing. Josef Moravec</w:t>
      </w:r>
    </w:p>
    <w:p w14:paraId="5A5E93E3" w14:textId="597543B9" w:rsidR="00762D09" w:rsidRPr="004229C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4229C2">
        <w:rPr>
          <w:rFonts w:ascii="Arial" w:hAnsi="Arial" w:cs="Arial"/>
          <w:color w:val="000000"/>
        </w:rPr>
        <w:t>zástupce uživatele objektu</w:t>
      </w:r>
      <w:r w:rsidRPr="004229C2">
        <w:rPr>
          <w:rFonts w:ascii="Arial" w:hAnsi="Arial" w:cs="Arial"/>
          <w:color w:val="000000"/>
        </w:rPr>
        <w:tab/>
      </w:r>
      <w:r w:rsidRPr="004229C2">
        <w:rPr>
          <w:rFonts w:ascii="Arial" w:hAnsi="Arial" w:cs="Arial"/>
          <w:color w:val="000000"/>
        </w:rPr>
        <w:tab/>
      </w:r>
      <w:r w:rsidRPr="004229C2">
        <w:rPr>
          <w:rFonts w:ascii="Arial" w:hAnsi="Arial" w:cs="Arial"/>
          <w:color w:val="000000"/>
        </w:rPr>
        <w:tab/>
      </w:r>
      <w:r w:rsidR="00115118" w:rsidRPr="002C59D9">
        <w:rPr>
          <w:rFonts w:ascii="Arial" w:hAnsi="Arial" w:cs="Arial"/>
          <w:color w:val="000000"/>
        </w:rPr>
        <w:t>Ing. Josef Moravec</w:t>
      </w:r>
    </w:p>
    <w:p w14:paraId="122C524C" w14:textId="31188F43"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122C524D" w14:textId="152D6873"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[dopln</w:t>
      </w:r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14:paraId="122C5250" w14:textId="77777777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14:paraId="122C5251" w14:textId="32AF859E"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20C1D37F"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DA75F1">
        <w:rPr>
          <w:rFonts w:ascii="Arial" w:hAnsi="Arial" w:cs="Arial"/>
          <w:color w:val="000000"/>
          <w:highlight w:val="yellow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5062B26F"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>Předmět díla je vymezen následující dokumentací, která tvoří přílohy této smlouvy:</w:t>
      </w:r>
    </w:p>
    <w:p w14:paraId="07B7EB1E" w14:textId="772380E8" w:rsidR="00261C40" w:rsidRPr="00C80E68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C80E68">
        <w:rPr>
          <w:rFonts w:ascii="Arial" w:hAnsi="Arial" w:cs="Arial"/>
        </w:rPr>
        <w:t>Příloha č. 1</w:t>
      </w:r>
      <w:r w:rsidRPr="00C80E68">
        <w:rPr>
          <w:rFonts w:ascii="Arial" w:hAnsi="Arial" w:cs="Arial"/>
        </w:rPr>
        <w:tab/>
      </w:r>
      <w:r w:rsidR="00886DB4" w:rsidRPr="00C80E68">
        <w:rPr>
          <w:rFonts w:ascii="Arial" w:hAnsi="Arial" w:cs="Arial"/>
        </w:rPr>
        <w:t>Technická specifikace</w:t>
      </w:r>
      <w:r w:rsidR="00DF34CC">
        <w:rPr>
          <w:rFonts w:ascii="Arial" w:hAnsi="Arial" w:cs="Arial"/>
        </w:rPr>
        <w:t xml:space="preserve"> </w:t>
      </w:r>
      <w:r w:rsidR="00DF34CC">
        <w:rPr>
          <w:rFonts w:ascii="Arial" w:hAnsi="Arial" w:cs="Arial"/>
          <w:color w:val="000000"/>
        </w:rPr>
        <w:t>včetně výkazu výměr (položkový rozpočet)</w:t>
      </w:r>
    </w:p>
    <w:p w14:paraId="1FE34EBA" w14:textId="340F6439" w:rsidR="00261C40" w:rsidRPr="000C221F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  <w:highlight w:val="cyan"/>
        </w:rPr>
      </w:pPr>
      <w:r w:rsidRPr="000C221F">
        <w:rPr>
          <w:rFonts w:ascii="Arial" w:hAnsi="Arial" w:cs="Arial"/>
          <w:color w:val="000000"/>
          <w:highlight w:val="cyan"/>
        </w:rPr>
        <w:t xml:space="preserve">Příloha č. </w:t>
      </w:r>
      <w:r w:rsidR="00886DB4" w:rsidRPr="000C221F">
        <w:rPr>
          <w:rFonts w:ascii="Arial" w:hAnsi="Arial" w:cs="Arial"/>
          <w:color w:val="000000"/>
          <w:highlight w:val="cyan"/>
        </w:rPr>
        <w:t>2</w:t>
      </w:r>
      <w:r w:rsidRPr="000C221F">
        <w:rPr>
          <w:rFonts w:ascii="Arial" w:hAnsi="Arial" w:cs="Arial"/>
          <w:color w:val="000000"/>
          <w:highlight w:val="cyan"/>
        </w:rPr>
        <w:tab/>
        <w:t xml:space="preserve">Vybraná vysvětlení zadávací dokumentace (bude doplněno </w:t>
      </w:r>
      <w:r w:rsidR="00886DB4" w:rsidRPr="000C221F">
        <w:rPr>
          <w:rFonts w:ascii="Arial" w:hAnsi="Arial" w:cs="Arial"/>
          <w:color w:val="000000"/>
          <w:highlight w:val="cyan"/>
        </w:rPr>
        <w:t>kupující</w:t>
      </w:r>
      <w:r w:rsidRPr="000C221F">
        <w:rPr>
          <w:rFonts w:ascii="Arial" w:hAnsi="Arial" w:cs="Arial"/>
          <w:color w:val="000000"/>
          <w:highlight w:val="cyan"/>
        </w:rPr>
        <w:t xml:space="preserve">m </w:t>
      </w:r>
    </w:p>
    <w:p w14:paraId="75641C32" w14:textId="079819EC" w:rsidR="00261C40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0C221F">
        <w:rPr>
          <w:rFonts w:ascii="Arial" w:hAnsi="Arial" w:cs="Arial"/>
          <w:color w:val="000000"/>
          <w:highlight w:val="cyan"/>
        </w:rPr>
        <w:t>před podpisem</w:t>
      </w:r>
      <w:r w:rsidRPr="000C221F">
        <w:rPr>
          <w:rFonts w:ascii="Arial" w:hAnsi="Arial" w:cs="Arial"/>
          <w:color w:val="000000"/>
          <w:highlight w:val="cyan"/>
        </w:rPr>
        <w:tab/>
        <w:t>smlouvy)</w:t>
      </w:r>
    </w:p>
    <w:p w14:paraId="71271606" w14:textId="77777777" w:rsidR="00DF34CC" w:rsidRPr="00BF2672" w:rsidRDefault="00DF34CC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</w:p>
    <w:p w14:paraId="122C5266" w14:textId="73B721B5"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14:paraId="269F11FC" w14:textId="57425419"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14:paraId="122C526E" w14:textId="41515020"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díla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12A5C04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542748">
        <w:rPr>
          <w:rFonts w:cs="Arial"/>
          <w:b w:val="0"/>
          <w:color w:val="000000"/>
          <w:szCs w:val="20"/>
        </w:rPr>
        <w:t>Předmět smlouvy</w:t>
      </w:r>
    </w:p>
    <w:p w14:paraId="1AD55A04" w14:textId="3B879254" w:rsidR="00E676C5" w:rsidRPr="00603734" w:rsidRDefault="00E676C5" w:rsidP="00542748">
      <w:pPr>
        <w:pStyle w:val="Zkladntext"/>
        <w:numPr>
          <w:ilvl w:val="0"/>
          <w:numId w:val="48"/>
        </w:numPr>
        <w:spacing w:before="240"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B078F4">
        <w:rPr>
          <w:rFonts w:ascii="Arial" w:hAnsi="Arial" w:cs="Arial"/>
          <w:color w:val="000000"/>
        </w:rPr>
        <w:t>IT vybavení a</w:t>
      </w:r>
      <w:r w:rsidR="008F4EE7">
        <w:rPr>
          <w:rFonts w:ascii="Arial" w:hAnsi="Arial" w:cs="Arial"/>
          <w:color w:val="000000"/>
        </w:rPr>
        <w:t xml:space="preserve"> zajistit</w:t>
      </w:r>
      <w:r w:rsidR="00F23556">
        <w:rPr>
          <w:rFonts w:ascii="Arial" w:hAnsi="Arial" w:cs="Arial"/>
          <w:color w:val="000000"/>
        </w:rPr>
        <w:t xml:space="preserve"> konektivit</w:t>
      </w:r>
      <w:r w:rsidR="008F4EE7">
        <w:rPr>
          <w:rFonts w:ascii="Arial" w:hAnsi="Arial" w:cs="Arial"/>
          <w:color w:val="000000"/>
        </w:rPr>
        <w:t>u (aktivní prvky a pasivní prvky síťové infrastruktury)</w:t>
      </w:r>
      <w:r w:rsidR="00B078F4">
        <w:rPr>
          <w:rFonts w:ascii="Arial" w:hAnsi="Arial" w:cs="Arial"/>
          <w:color w:val="000000"/>
        </w:rPr>
        <w:t xml:space="preserve"> a poskytnutí souvisejících služeb </w:t>
      </w:r>
      <w:r>
        <w:rPr>
          <w:rFonts w:ascii="Arial" w:hAnsi="Arial" w:cs="Arial"/>
          <w:color w:val="000000"/>
        </w:rPr>
        <w:t>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</w:t>
      </w:r>
      <w:r w:rsidR="00C43CEA">
        <w:rPr>
          <w:rFonts w:ascii="Arial" w:hAnsi="Arial" w:cs="Arial"/>
          <w:color w:val="000000"/>
        </w:rPr>
        <w:t xml:space="preserve"> a zaškolení příslušných pracovníků kupujícího či jím určených osob</w:t>
      </w:r>
      <w:r w:rsidR="00542748" w:rsidRPr="00603734">
        <w:rPr>
          <w:rFonts w:ascii="Arial" w:hAnsi="Arial" w:cs="Arial"/>
          <w:color w:val="000000"/>
        </w:rPr>
        <w:t xml:space="preserve">. </w:t>
      </w:r>
    </w:p>
    <w:p w14:paraId="122C5271" w14:textId="7D440028" w:rsidR="000D0DC9" w:rsidRPr="00844706" w:rsidRDefault="00542748" w:rsidP="00542748">
      <w:pPr>
        <w:pStyle w:val="Zkladntext"/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E676C5" w:rsidRPr="00E676C5">
        <w:rPr>
          <w:rFonts w:ascii="Arial" w:hAnsi="Arial" w:cs="Arial"/>
          <w:color w:val="000000"/>
        </w:rPr>
        <w:t>Kupující se zavazuje převzít bezvadné zboží a za zboží zaplatit prodávajícímu kupní cenu a to za podmínek stanovených touto smlouvou.</w:t>
      </w:r>
    </w:p>
    <w:p w14:paraId="122C5299" w14:textId="7BCD9737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2C529A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1E68FD50" w14:textId="73BD5F0E"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244202" w:rsidRPr="002C59D9">
        <w:rPr>
          <w:rFonts w:ascii="Arial" w:hAnsi="Arial" w:cs="Arial"/>
          <w:b/>
        </w:rPr>
        <w:t>Střední průmyslová škola kamenická a sochařská, Husova 675, 508 01 Hořic</w:t>
      </w:r>
      <w:r w:rsidR="004229C2">
        <w:rPr>
          <w:rFonts w:ascii="Arial" w:hAnsi="Arial" w:cs="Arial"/>
          <w:b/>
        </w:rPr>
        <w:t>e.</w:t>
      </w:r>
      <w:r w:rsidR="004229C2">
        <w:rPr>
          <w:rFonts w:ascii="Arial" w:hAnsi="Arial" w:cs="Arial"/>
        </w:rPr>
        <w:t xml:space="preserve"> </w:t>
      </w:r>
      <w:r w:rsidRPr="00E676C5">
        <w:rPr>
          <w:rFonts w:ascii="Arial" w:hAnsi="Arial" w:cs="Arial"/>
          <w:color w:val="000000"/>
        </w:rPr>
        <w:t xml:space="preserve">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115118">
        <w:rPr>
          <w:rFonts w:ascii="Arial" w:hAnsi="Arial" w:cs="Arial"/>
          <w:color w:val="000000"/>
        </w:rPr>
        <w:t xml:space="preserve"> </w:t>
      </w:r>
      <w:r w:rsidR="00115118" w:rsidRPr="00244202">
        <w:rPr>
          <w:rFonts w:ascii="Arial" w:hAnsi="Arial" w:cs="Arial"/>
          <w:b/>
          <w:color w:val="000000"/>
        </w:rPr>
        <w:t>Střední průmyslová škola kamenická a sochařská, Husova 675, 508 01 Hořice</w:t>
      </w:r>
      <w:r w:rsidR="00115118" w:rsidRPr="00244202" w:rsidDel="002812F1">
        <w:rPr>
          <w:rFonts w:ascii="Arial" w:hAnsi="Arial" w:cs="Arial"/>
          <w:color w:val="000000"/>
        </w:rPr>
        <w:t xml:space="preserve"> </w:t>
      </w:r>
      <w:r w:rsidR="00115118" w:rsidRPr="00E676C5">
        <w:rPr>
          <w:rFonts w:ascii="Arial" w:hAnsi="Arial" w:cs="Arial"/>
          <w:color w:val="000000"/>
        </w:rPr>
        <w:t xml:space="preserve"> </w:t>
      </w:r>
    </w:p>
    <w:p w14:paraId="3CCAAE25" w14:textId="2DD61E30"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do </w:t>
      </w:r>
      <w:r w:rsidR="00905E83">
        <w:rPr>
          <w:rFonts w:ascii="Arial" w:hAnsi="Arial" w:cs="Arial"/>
          <w:color w:val="000000"/>
        </w:rPr>
        <w:t>šesti (6) měsíců</w:t>
      </w:r>
      <w:r w:rsidRPr="00E676C5">
        <w:rPr>
          <w:rFonts w:ascii="Arial" w:hAnsi="Arial" w:cs="Arial"/>
          <w:color w:val="000000"/>
        </w:rPr>
        <w:t xml:space="preserve"> 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</w:t>
      </w:r>
      <w:r w:rsidR="00F81580">
        <w:rPr>
          <w:rFonts w:ascii="Arial" w:hAnsi="Arial" w:cs="Arial"/>
          <w:color w:val="000000"/>
        </w:rPr>
        <w:t xml:space="preserve"> </w:t>
      </w:r>
      <w:r w:rsidR="00F81580" w:rsidRPr="00F81580">
        <w:rPr>
          <w:rFonts w:ascii="Arial" w:hAnsi="Arial" w:cs="Arial"/>
          <w:bCs/>
          <w:color w:val="000000"/>
        </w:rPr>
        <w:t>Dodáním ve smyslu tohoto odstavce se rozumí podpis akceptačního protokolu, ve kterém je uvedeno, že kupující akceptuje plnění bez výhrad.</w:t>
      </w:r>
      <w:r w:rsidRPr="00F81580">
        <w:rPr>
          <w:rFonts w:ascii="Arial" w:hAnsi="Arial" w:cs="Arial"/>
          <w:color w:val="000000"/>
        </w:rPr>
        <w:t xml:space="preserve"> V případě nesplnění požadovaného termínu</w:t>
      </w:r>
      <w:r w:rsidRPr="00E676C5">
        <w:rPr>
          <w:rFonts w:ascii="Arial" w:hAnsi="Arial" w:cs="Arial"/>
          <w:color w:val="000000"/>
        </w:rPr>
        <w:t xml:space="preserve"> je kupující oprávněn odstoupit od smlouvy.</w:t>
      </w:r>
    </w:p>
    <w:p w14:paraId="7C88F9D2" w14:textId="40D58D7F" w:rsidR="00220ACC" w:rsidRPr="00CE306A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</w:t>
      </w:r>
      <w:r w:rsidRPr="00B61443">
        <w:rPr>
          <w:rFonts w:ascii="Arial" w:hAnsi="Arial" w:cs="Arial"/>
          <w:color w:val="000000"/>
        </w:rPr>
        <w:t xml:space="preserve">nejméně </w:t>
      </w:r>
      <w:r w:rsidR="00F81580">
        <w:rPr>
          <w:rFonts w:ascii="Arial" w:hAnsi="Arial" w:cs="Arial"/>
          <w:color w:val="000000"/>
        </w:rPr>
        <w:t>sedm (</w:t>
      </w:r>
      <w:r w:rsidR="00B61443" w:rsidRPr="00C80E68">
        <w:rPr>
          <w:rFonts w:ascii="Arial" w:hAnsi="Arial" w:cs="Arial"/>
          <w:color w:val="000000"/>
        </w:rPr>
        <w:t>7</w:t>
      </w:r>
      <w:r w:rsidR="00F81580">
        <w:rPr>
          <w:rFonts w:ascii="Arial" w:hAnsi="Arial" w:cs="Arial"/>
          <w:color w:val="000000"/>
        </w:rPr>
        <w:t>)</w:t>
      </w:r>
      <w:r w:rsidR="00B61443" w:rsidRPr="00C80E68">
        <w:rPr>
          <w:rFonts w:ascii="Arial" w:hAnsi="Arial" w:cs="Arial"/>
          <w:color w:val="000000"/>
        </w:rPr>
        <w:t xml:space="preserve"> </w:t>
      </w:r>
      <w:r w:rsidRPr="00C80E68">
        <w:rPr>
          <w:rFonts w:ascii="Arial" w:hAnsi="Arial" w:cs="Arial"/>
          <w:color w:val="000000"/>
        </w:rPr>
        <w:t>pracovní</w:t>
      </w:r>
      <w:r w:rsidR="00B61443" w:rsidRPr="00C80E68">
        <w:rPr>
          <w:rFonts w:ascii="Arial" w:hAnsi="Arial" w:cs="Arial"/>
          <w:color w:val="000000"/>
        </w:rPr>
        <w:t>ch</w:t>
      </w:r>
      <w:r w:rsidRPr="00C80E68">
        <w:rPr>
          <w:rFonts w:ascii="Arial" w:hAnsi="Arial" w:cs="Arial"/>
          <w:color w:val="000000"/>
        </w:rPr>
        <w:t xml:space="preserve"> dn</w:t>
      </w:r>
      <w:r w:rsidR="00B61443" w:rsidRPr="00C80E68">
        <w:rPr>
          <w:rFonts w:ascii="Arial" w:hAnsi="Arial" w:cs="Arial"/>
          <w:color w:val="000000"/>
        </w:rPr>
        <w:t>í</w:t>
      </w:r>
      <w:r w:rsidRPr="00E676C5">
        <w:rPr>
          <w:rFonts w:ascii="Arial" w:hAnsi="Arial" w:cs="Arial"/>
          <w:color w:val="000000"/>
        </w:rPr>
        <w:t xml:space="preserve"> 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14:paraId="122C52AC" w14:textId="192F00C2"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22C52AD" w14:textId="293C84F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E6739EB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14:paraId="3925CFCD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14:paraId="7AA1C6BB" w14:textId="03A2D701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14:paraId="2B51FD47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036E64B0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3D1969E3" w14:textId="27791AAC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05DD012F" w14:textId="2AE31E7D" w:rsidR="005C1F42" w:rsidRDefault="00F14547" w:rsidP="00F81580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F81580">
        <w:rPr>
          <w:rFonts w:ascii="Arial" w:hAnsi="Arial" w:cs="Arial"/>
          <w:color w:val="000000"/>
        </w:rPr>
        <w:t>osmi (</w:t>
      </w:r>
      <w:r w:rsidR="00B61443">
        <w:rPr>
          <w:rFonts w:ascii="Arial" w:hAnsi="Arial" w:cs="Arial"/>
          <w:color w:val="000000"/>
        </w:rPr>
        <w:t>8</w:t>
      </w:r>
      <w:r w:rsidR="00F81580">
        <w:rPr>
          <w:rFonts w:ascii="Arial" w:hAnsi="Arial" w:cs="Arial"/>
          <w:color w:val="000000"/>
        </w:rPr>
        <w:t>)</w:t>
      </w:r>
      <w:r w:rsidR="00B61443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 xml:space="preserve">týdnů </w:t>
      </w:r>
      <w:r w:rsidR="005C1F42">
        <w:rPr>
          <w:rFonts w:ascii="Arial" w:hAnsi="Arial" w:cs="Arial"/>
          <w:color w:val="000000"/>
        </w:rPr>
        <w:t>proběhne akceptační řízení.</w:t>
      </w:r>
      <w:r w:rsidR="00F81580">
        <w:rPr>
          <w:rFonts w:ascii="Arial" w:hAnsi="Arial" w:cs="Arial"/>
          <w:color w:val="000000"/>
        </w:rPr>
        <w:t xml:space="preserve"> </w:t>
      </w:r>
      <w:r w:rsidR="00F81580" w:rsidRPr="00F81580">
        <w:rPr>
          <w:rFonts w:ascii="Arial" w:hAnsi="Arial" w:cs="Arial"/>
          <w:color w:val="000000"/>
        </w:rPr>
        <w:t>V případě, že zkušební provoz výše uvedený zasáhne do prázdnin školy, prodlužuje se termín zkušebního provozu o délku prázdnin.</w:t>
      </w:r>
      <w:r w:rsidR="005C1F42">
        <w:rPr>
          <w:rFonts w:ascii="Arial" w:hAnsi="Arial" w:cs="Arial"/>
          <w:color w:val="000000"/>
        </w:rPr>
        <w:t xml:space="preserve"> Výsledkem akceptačního řízení mohou být následující stavy:</w:t>
      </w:r>
    </w:p>
    <w:p w14:paraId="13747A4C" w14:textId="6E373A5C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14:paraId="7684731F" w14:textId="4D293D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14:paraId="33A5BA7F" w14:textId="74628929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14:paraId="61B68E0D" w14:textId="2CD70771"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 </w:t>
      </w:r>
      <w:r w:rsidR="00905E83">
        <w:rPr>
          <w:rFonts w:ascii="Arial" w:hAnsi="Arial" w:cs="Arial"/>
          <w:color w:val="000000"/>
        </w:rPr>
        <w:t xml:space="preserve">odstranění vad a nedodělků </w:t>
      </w:r>
      <w:r>
        <w:rPr>
          <w:rFonts w:ascii="Arial" w:hAnsi="Arial" w:cs="Arial"/>
          <w:color w:val="000000"/>
        </w:rPr>
        <w:t xml:space="preserve">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14:paraId="4E06D346" w14:textId="466E8581"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11C4BBE3" w14:textId="12FFFAE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4FACEC08" w14:textId="77777777" w:rsidR="00C43CEA" w:rsidRPr="00AF676E" w:rsidRDefault="00C43CEA" w:rsidP="00C43CEA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AF676E">
        <w:rPr>
          <w:rFonts w:ascii="Arial" w:hAnsi="Arial" w:cs="Arial"/>
          <w:color w:val="000000"/>
        </w:rPr>
        <w:t>Řádné předání</w:t>
      </w:r>
      <w:r>
        <w:rPr>
          <w:rFonts w:ascii="Arial" w:hAnsi="Arial" w:cs="Arial"/>
          <w:color w:val="000000"/>
        </w:rPr>
        <w:t xml:space="preserve"> a akceptace</w:t>
      </w:r>
      <w:r w:rsidRPr="00AF676E">
        <w:rPr>
          <w:rFonts w:ascii="Arial" w:hAnsi="Arial" w:cs="Arial"/>
          <w:color w:val="000000"/>
        </w:rPr>
        <w:t xml:space="preserve"> předmětu smlouvy je podmíněno prokázáním naplnění standardu konektivity</w:t>
      </w:r>
      <w:r>
        <w:rPr>
          <w:rFonts w:ascii="Arial" w:hAnsi="Arial" w:cs="Arial"/>
          <w:color w:val="000000"/>
        </w:rPr>
        <w:t xml:space="preserve"> (včetně zpracování zprávy o naplnění standardu konektivity) </w:t>
      </w:r>
      <w:r w:rsidRPr="00AF676E">
        <w:rPr>
          <w:rFonts w:ascii="Arial" w:hAnsi="Arial" w:cs="Arial"/>
          <w:color w:val="000000"/>
        </w:rPr>
        <w:t xml:space="preserve">v projektech IROP SC 2.4 </w:t>
      </w:r>
      <w:r>
        <w:rPr>
          <w:rFonts w:ascii="Arial" w:hAnsi="Arial" w:cs="Arial"/>
          <w:color w:val="000000"/>
        </w:rPr>
        <w:t>(</w:t>
      </w:r>
      <w:r w:rsidRPr="00AF676E">
        <w:rPr>
          <w:rFonts w:ascii="Arial" w:hAnsi="Arial" w:cs="Arial"/>
          <w:color w:val="000000"/>
        </w:rPr>
        <w:t>zaměřených na zvýšení kvality a dostupnosti infrastruktury pro vzdělávání a celoživotní učení v oblasti zajištění vnitřní konektivity škol a připojení k internetu - rozvoj vnitřní konektivity v prostorách škol a školských zařízení a připojení k</w:t>
      </w:r>
      <w:r>
        <w:rPr>
          <w:rFonts w:ascii="Arial" w:hAnsi="Arial" w:cs="Arial"/>
          <w:color w:val="000000"/>
        </w:rPr>
        <w:t> </w:t>
      </w:r>
      <w:r w:rsidRPr="00AF676E">
        <w:rPr>
          <w:rFonts w:ascii="Arial" w:hAnsi="Arial" w:cs="Arial"/>
          <w:color w:val="000000"/>
        </w:rPr>
        <w:t>internetu</w:t>
      </w:r>
      <w:r>
        <w:rPr>
          <w:rFonts w:ascii="Arial" w:hAnsi="Arial" w:cs="Arial"/>
          <w:color w:val="000000"/>
        </w:rPr>
        <w:t>)</w:t>
      </w:r>
      <w:r w:rsidRPr="00AF676E">
        <w:rPr>
          <w:rFonts w:ascii="Arial" w:hAnsi="Arial" w:cs="Arial"/>
          <w:color w:val="000000"/>
        </w:rPr>
        <w:t xml:space="preserve"> prodávajícím kupujícímu v souladu s dokumentem </w:t>
      </w:r>
      <w:r>
        <w:rPr>
          <w:rFonts w:ascii="Arial" w:hAnsi="Arial" w:cs="Arial"/>
          <w:color w:val="000000"/>
        </w:rPr>
        <w:t>„</w:t>
      </w:r>
      <w:r w:rsidRPr="00AF676E">
        <w:rPr>
          <w:rFonts w:ascii="Arial" w:hAnsi="Arial" w:cs="Arial"/>
          <w:color w:val="000000"/>
        </w:rPr>
        <w:t>Prokázání a kontrola naplnění standardu konektivity ve výzvách IROP (infrastruktura základních a středních škol)</w:t>
      </w:r>
      <w:r>
        <w:rPr>
          <w:rFonts w:ascii="Arial" w:hAnsi="Arial" w:cs="Arial"/>
          <w:color w:val="000000"/>
        </w:rPr>
        <w:t xml:space="preserve">“ </w:t>
      </w:r>
      <w:r w:rsidRPr="00AF676E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e</w:t>
      </w:r>
      <w:r w:rsidRPr="00AF676E">
        <w:rPr>
          <w:rFonts w:ascii="Arial" w:hAnsi="Arial" w:cs="Arial"/>
          <w:color w:val="000000"/>
        </w:rPr>
        <w:t xml:space="preserve"> znění </w:t>
      </w:r>
      <w:r>
        <w:rPr>
          <w:rFonts w:ascii="Arial" w:hAnsi="Arial" w:cs="Arial"/>
          <w:color w:val="000000"/>
        </w:rPr>
        <w:t xml:space="preserve">aktuálním </w:t>
      </w:r>
      <w:r w:rsidRPr="00AF676E">
        <w:rPr>
          <w:rFonts w:ascii="Arial" w:hAnsi="Arial" w:cs="Arial"/>
          <w:color w:val="000000"/>
        </w:rPr>
        <w:t>ke dni předání předmětu smlouvy.</w:t>
      </w:r>
    </w:p>
    <w:p w14:paraId="6DF4494C" w14:textId="77777777" w:rsidR="00C43CEA" w:rsidRDefault="00C43CEA" w:rsidP="000C221F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</w:p>
    <w:p w14:paraId="1E59FEBE" w14:textId="28D00D4B"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D8E8A06" w14:textId="25F756B7"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0741D87F" w14:textId="5AC3D4FA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této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14:paraId="38A99EB1" w14:textId="5C2CDBC3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30914BAD" w14:textId="3FF7B8D5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0AE45D72" w14:textId="1D7A99EC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75E1A12B" w14:textId="036FC4B6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2162B855" w14:textId="48D1A262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14:paraId="63465025" w14:textId="71DA22A7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14:paraId="17975244" w14:textId="1B8E6CE9"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14:paraId="48F0C123" w14:textId="233BC915"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926042A" w14:textId="77777777" w:rsidR="001B2EBA" w:rsidRDefault="001B2EBA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27A6B77" w14:textId="77777777" w:rsidR="001B2EBA" w:rsidRDefault="001B2EBA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22C52B9" w14:textId="25CE6D6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22C52BA" w14:textId="5E5DAC21"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39D16C0C" w14:textId="5DC920DF"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Kupní cena za realizaci předmětu smlouvy bude uhrazena</w:t>
      </w:r>
      <w:r w:rsidR="00905E83">
        <w:rPr>
          <w:rFonts w:ascii="Arial" w:hAnsi="Arial" w:cs="Arial"/>
          <w:color w:val="000000"/>
        </w:rPr>
        <w:t xml:space="preserve"> jednorázově</w:t>
      </w:r>
      <w:r w:rsidRPr="008750B6">
        <w:rPr>
          <w:rFonts w:ascii="Arial" w:hAnsi="Arial" w:cs="Arial"/>
          <w:color w:val="000000"/>
        </w:rPr>
        <w:t xml:space="preserve"> 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14:paraId="3B5E0A67" w14:textId="7B473E63"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1F0A441A" w14:textId="77777777"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66399C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560E1066" w14:textId="31E6BD6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497F4FD" w14:textId="77314A7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14:paraId="049E893F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5103E89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DFFA7C1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73D34CFC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2741D4EF" w14:textId="58CC4EC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a název projektu dle této smlouvy,</w:t>
      </w:r>
    </w:p>
    <w:p w14:paraId="2392AF0A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14:paraId="4D51E0C8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díla s odkazem na příslušnou část smlouvy,</w:t>
      </w:r>
    </w:p>
    <w:p w14:paraId="592943C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1F1B05F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6ABF8254" w14:textId="39034DE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4FF7CEEB" w14:textId="000673EA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14:paraId="70C9F79E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14:paraId="67E36665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487EEFED" w14:textId="34B1960B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3076CC5E" w14:textId="77777777" w:rsidR="00603734" w:rsidRPr="00F876E6" w:rsidRDefault="00603734" w:rsidP="00603734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588B0C23" w14:textId="77777777" w:rsidR="00603734" w:rsidRPr="00BF2672" w:rsidRDefault="00603734" w:rsidP="00603734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695D7A52" w14:textId="77777777" w:rsidR="00603734" w:rsidRPr="009C1D7B" w:rsidRDefault="00603734" w:rsidP="00603734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422A934D" w14:textId="77777777" w:rsidR="00603734" w:rsidRPr="009C1D7B" w:rsidRDefault="00603734" w:rsidP="00603734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7661BFF2" w14:textId="77777777" w:rsidR="00603734" w:rsidRPr="009C1D7B" w:rsidRDefault="00603734" w:rsidP="00603734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F0D91FD" w14:textId="77777777" w:rsidR="00603734" w:rsidRPr="009C1D7B" w:rsidRDefault="00603734" w:rsidP="00603734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3C42A264" w14:textId="04CC4132" w:rsidR="00C43CEA" w:rsidRDefault="00C43CEA" w:rsidP="00C43CEA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poskytne v souladu s podmínkami veřejné zakázky záruku </w:t>
      </w:r>
      <w:r>
        <w:rPr>
          <w:rFonts w:ascii="Arial" w:hAnsi="Arial" w:cs="Arial"/>
          <w:color w:val="000000"/>
        </w:rPr>
        <w:t>v dále specifikovaném rozsahu, a to vždy ode dne převzetí zboží (podle akceptačního protokolu):</w:t>
      </w:r>
    </w:p>
    <w:p w14:paraId="635CA646" w14:textId="5B05794E" w:rsidR="00C43CEA" w:rsidRPr="003A4BEB" w:rsidRDefault="00C43CEA" w:rsidP="00C43CEA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Aktivní </w:t>
      </w:r>
      <w:r w:rsidR="004D133E">
        <w:rPr>
          <w:rFonts w:ascii="Arial" w:hAnsi="Arial" w:cs="Arial"/>
          <w:b/>
          <w:color w:val="000000"/>
        </w:rPr>
        <w:t xml:space="preserve">a pasivní </w:t>
      </w:r>
      <w:r>
        <w:rPr>
          <w:rFonts w:ascii="Arial" w:hAnsi="Arial" w:cs="Arial"/>
          <w:b/>
          <w:color w:val="000000"/>
        </w:rPr>
        <w:t>síťové prvky</w:t>
      </w:r>
      <w:r w:rsidRPr="003A4BE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3A4BEB">
        <w:rPr>
          <w:rFonts w:ascii="Arial" w:hAnsi="Arial" w:cs="Arial"/>
          <w:b/>
          <w:color w:val="000000"/>
        </w:rPr>
        <w:t>min. 60 měsíců</w:t>
      </w:r>
    </w:p>
    <w:p w14:paraId="7463C45C" w14:textId="618202DA" w:rsidR="00C43CEA" w:rsidRPr="003A4BEB" w:rsidRDefault="00C43CEA" w:rsidP="00C43CEA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A4BEB">
        <w:rPr>
          <w:rFonts w:ascii="Arial" w:hAnsi="Arial" w:cs="Arial"/>
          <w:b/>
          <w:color w:val="000000"/>
        </w:rPr>
        <w:t>Ostatní části dodávky</w:t>
      </w:r>
      <w:r>
        <w:rPr>
          <w:rFonts w:ascii="Arial" w:hAnsi="Arial" w:cs="Arial"/>
          <w:b/>
          <w:color w:val="000000"/>
        </w:rPr>
        <w:tab/>
      </w:r>
      <w:r w:rsidR="004D133E">
        <w:rPr>
          <w:rFonts w:ascii="Arial" w:hAnsi="Arial" w:cs="Arial"/>
          <w:b/>
          <w:color w:val="000000"/>
        </w:rPr>
        <w:tab/>
      </w:r>
      <w:r w:rsidR="004D133E">
        <w:rPr>
          <w:rFonts w:ascii="Arial" w:hAnsi="Arial" w:cs="Arial"/>
          <w:b/>
          <w:color w:val="000000"/>
        </w:rPr>
        <w:tab/>
      </w:r>
      <w:r w:rsidRPr="003A4BEB">
        <w:rPr>
          <w:rFonts w:ascii="Arial" w:hAnsi="Arial" w:cs="Arial"/>
          <w:b/>
          <w:color w:val="000000"/>
        </w:rPr>
        <w:t>min. 24 měsíců</w:t>
      </w:r>
    </w:p>
    <w:p w14:paraId="66A6601D" w14:textId="77777777" w:rsidR="00603734" w:rsidRPr="009C1D7B" w:rsidRDefault="00603734" w:rsidP="000C221F">
      <w:pPr>
        <w:pStyle w:val="Zkladntext"/>
        <w:spacing w:before="120" w:line="276" w:lineRule="auto"/>
        <w:ind w:left="357"/>
        <w:jc w:val="both"/>
        <w:rPr>
          <w:rFonts w:ascii="Arial" w:hAnsi="Arial" w:cs="Arial"/>
          <w:color w:val="000000"/>
        </w:rPr>
      </w:pPr>
    </w:p>
    <w:p w14:paraId="405658E1" w14:textId="77777777" w:rsidR="00C43CEA" w:rsidRPr="009C1D7B" w:rsidRDefault="00C43CEA" w:rsidP="00C43CEA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  <w:r>
        <w:rPr>
          <w:rFonts w:ascii="Arial" w:hAnsi="Arial" w:cs="Arial"/>
          <w:color w:val="000000"/>
        </w:rPr>
        <w:t xml:space="preserve"> </w:t>
      </w:r>
      <w:r w:rsidRPr="0012491C">
        <w:rPr>
          <w:rFonts w:ascii="Arial" w:hAnsi="Arial" w:cs="Arial"/>
          <w:color w:val="000000"/>
        </w:rPr>
        <w:t>Prodávající se zavazuje po celou dobu běhu záruční doby dle odst. 5 zajistit plnou funkčnost dodávaného zboží včetně dodávaných systémů (aktivní síťové prvky) dle této smlouvy.</w:t>
      </w:r>
    </w:p>
    <w:p w14:paraId="4B9C91AB" w14:textId="77777777" w:rsidR="00C43CEA" w:rsidRPr="00B0791F" w:rsidRDefault="00C43CEA" w:rsidP="00C43CEA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B0791F">
        <w:rPr>
          <w:rFonts w:ascii="Arial" w:hAnsi="Arial" w:cs="Arial"/>
          <w:color w:val="000000"/>
        </w:rPr>
        <w:t>Vady, na něž se vztahuje záruka, je kupující oprávněn uplatnit nejpozději do konce záruční doby. Uplatnění vad se považuje za učiněné v souladu s touto smlouvou i v případě, že bude učiněno přímo uživatelem. V takovém případě se má za to, že uživatel jedná v zastoupení kupujícího.</w:t>
      </w:r>
      <w:r>
        <w:rPr>
          <w:rFonts w:ascii="Arial" w:hAnsi="Arial" w:cs="Arial"/>
          <w:color w:val="000000"/>
        </w:rPr>
        <w:t xml:space="preserve"> </w:t>
      </w:r>
    </w:p>
    <w:p w14:paraId="508D3678" w14:textId="77777777" w:rsidR="00C43CEA" w:rsidRPr="009C1D7B" w:rsidRDefault="00C43CEA" w:rsidP="00C43CEA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546F8245" w14:textId="77777777" w:rsidR="00C43CEA" w:rsidRPr="003A4BEB" w:rsidRDefault="00C43CEA" w:rsidP="00C43CEA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  <w:r>
        <w:rPr>
          <w:rFonts w:ascii="Arial" w:hAnsi="Arial" w:cs="Arial"/>
          <w:color w:val="000000"/>
        </w:rPr>
        <w:t xml:space="preserve"> </w:t>
      </w:r>
      <w:r w:rsidRPr="00B22177">
        <w:rPr>
          <w:rFonts w:ascii="Arial" w:hAnsi="Arial" w:cs="Arial"/>
          <w:color w:val="000000"/>
        </w:rPr>
        <w:tab/>
        <w:t>Pracovními hodinami se stanovuje časové rozmezí od 8:00 do 17:00, a to v pracovních dnech. Zbývající doba je definována jako mimopracovní hodiny.</w:t>
      </w:r>
    </w:p>
    <w:p w14:paraId="54E56163" w14:textId="77777777" w:rsidR="00C43CEA" w:rsidRPr="005646B1" w:rsidRDefault="00C43CEA" w:rsidP="00C43CEA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646B1">
        <w:rPr>
          <w:rFonts w:ascii="Arial" w:hAnsi="Arial" w:cs="Arial"/>
          <w:color w:val="000000"/>
        </w:rPr>
        <w:t xml:space="preserve">Proces odstraňování vad </w:t>
      </w:r>
      <w:r>
        <w:rPr>
          <w:rFonts w:ascii="Arial" w:hAnsi="Arial" w:cs="Arial"/>
          <w:color w:val="000000"/>
        </w:rPr>
        <w:t>v rámci záručního servisu</w:t>
      </w:r>
      <w:r w:rsidRPr="005646B1">
        <w:rPr>
          <w:rFonts w:ascii="Arial" w:hAnsi="Arial" w:cs="Arial"/>
          <w:color w:val="000000"/>
        </w:rPr>
        <w:t xml:space="preserve"> bude probíhat v těchto režimech:</w:t>
      </w:r>
    </w:p>
    <w:p w14:paraId="7ED60860" w14:textId="77777777" w:rsidR="00C43CEA" w:rsidRPr="005646B1" w:rsidRDefault="00C43CEA" w:rsidP="00C43CEA">
      <w:pPr>
        <w:numPr>
          <w:ilvl w:val="0"/>
          <w:numId w:val="50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22177">
        <w:rPr>
          <w:rFonts w:ascii="Arial" w:hAnsi="Arial" w:cs="Arial"/>
          <w:b/>
          <w:sz w:val="20"/>
          <w:szCs w:val="20"/>
        </w:rPr>
        <w:t>Kategorie vady „vysoká“ nebo „havárie“</w:t>
      </w:r>
      <w:r>
        <w:rPr>
          <w:rFonts w:ascii="Arial" w:hAnsi="Arial" w:cs="Arial"/>
          <w:b/>
          <w:sz w:val="20"/>
          <w:szCs w:val="20"/>
        </w:rPr>
        <w:t>:</w:t>
      </w:r>
      <w:r w:rsidRPr="00B22177">
        <w:rPr>
          <w:rFonts w:ascii="Arial" w:hAnsi="Arial" w:cs="Arial"/>
          <w:sz w:val="20"/>
          <w:szCs w:val="20"/>
        </w:rPr>
        <w:t xml:space="preserve"> vady zabraňující provozu, </w:t>
      </w:r>
      <w:r>
        <w:rPr>
          <w:rFonts w:ascii="Arial" w:hAnsi="Arial" w:cs="Arial"/>
          <w:sz w:val="20"/>
          <w:szCs w:val="20"/>
        </w:rPr>
        <w:t>zboží</w:t>
      </w:r>
      <w:r w:rsidRPr="00B2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jeho část </w:t>
      </w:r>
      <w:r w:rsidRPr="00B22177">
        <w:rPr>
          <w:rFonts w:ascii="Arial" w:hAnsi="Arial" w:cs="Arial"/>
          <w:sz w:val="20"/>
          <w:szCs w:val="20"/>
        </w:rPr>
        <w:t>není použiteln</w:t>
      </w:r>
      <w:r>
        <w:rPr>
          <w:rFonts w:ascii="Arial" w:hAnsi="Arial" w:cs="Arial"/>
          <w:sz w:val="20"/>
          <w:szCs w:val="20"/>
        </w:rPr>
        <w:t>é</w:t>
      </w:r>
      <w:r w:rsidRPr="00B22177">
        <w:rPr>
          <w:rFonts w:ascii="Arial" w:hAnsi="Arial" w:cs="Arial"/>
          <w:sz w:val="20"/>
          <w:szCs w:val="20"/>
        </w:rPr>
        <w:t xml:space="preserve"> ve svých základních funkcích nebo se vyskytuje funkční závada znemožňující činnost </w:t>
      </w:r>
      <w:r>
        <w:rPr>
          <w:rFonts w:ascii="Arial" w:hAnsi="Arial" w:cs="Arial"/>
          <w:sz w:val="20"/>
          <w:szCs w:val="20"/>
        </w:rPr>
        <w:t>celku, jehož je zboží součástí</w:t>
      </w:r>
      <w:r w:rsidRPr="00B22177">
        <w:rPr>
          <w:rFonts w:ascii="Arial" w:hAnsi="Arial" w:cs="Arial"/>
          <w:sz w:val="20"/>
          <w:szCs w:val="20"/>
        </w:rPr>
        <w:t xml:space="preserve">. Tento stav může ohrozit běžný provoz </w:t>
      </w:r>
      <w:r>
        <w:rPr>
          <w:rFonts w:ascii="Arial" w:hAnsi="Arial" w:cs="Arial"/>
          <w:sz w:val="20"/>
          <w:szCs w:val="20"/>
        </w:rPr>
        <w:t>kupujícího nebo uživatele</w:t>
      </w:r>
      <w:r w:rsidRPr="00B22177">
        <w:rPr>
          <w:rFonts w:ascii="Arial" w:hAnsi="Arial" w:cs="Arial"/>
          <w:sz w:val="20"/>
          <w:szCs w:val="20"/>
        </w:rPr>
        <w:t xml:space="preserve"> a nelze jej dočasně řešit organizačním opatřením. Nejpozději </w:t>
      </w:r>
      <w:r>
        <w:rPr>
          <w:rFonts w:ascii="Arial" w:hAnsi="Arial" w:cs="Arial"/>
          <w:sz w:val="20"/>
          <w:szCs w:val="20"/>
        </w:rPr>
        <w:t xml:space="preserve">následující pracovní den </w:t>
      </w:r>
      <w:r w:rsidRPr="00B22177">
        <w:rPr>
          <w:rFonts w:ascii="Arial" w:hAnsi="Arial" w:cs="Arial"/>
          <w:sz w:val="20"/>
          <w:szCs w:val="20"/>
        </w:rPr>
        <w:t xml:space="preserve">zahájí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B22177">
        <w:rPr>
          <w:rFonts w:ascii="Arial" w:hAnsi="Arial" w:cs="Arial"/>
          <w:sz w:val="20"/>
          <w:szCs w:val="20"/>
        </w:rPr>
        <w:t xml:space="preserve">práce na odstranění vady a zajistí odstranění této vady ve lhůtě do </w:t>
      </w:r>
      <w:r>
        <w:rPr>
          <w:rFonts w:ascii="Arial" w:hAnsi="Arial" w:cs="Arial"/>
          <w:sz w:val="20"/>
          <w:szCs w:val="20"/>
        </w:rPr>
        <w:t>12 pracovních</w:t>
      </w:r>
      <w:r w:rsidRPr="00B22177">
        <w:rPr>
          <w:rFonts w:ascii="Arial" w:hAnsi="Arial" w:cs="Arial"/>
          <w:sz w:val="20"/>
          <w:szCs w:val="20"/>
        </w:rPr>
        <w:t xml:space="preserve"> hodin od nahlášení vady, a to i způsobem dočasného provizorního řešení, umožňujícího provoz</w:t>
      </w:r>
      <w:r>
        <w:rPr>
          <w:rFonts w:ascii="Arial" w:hAnsi="Arial" w:cs="Arial"/>
          <w:sz w:val="20"/>
          <w:szCs w:val="20"/>
        </w:rPr>
        <w:t xml:space="preserve"> zboží</w:t>
      </w:r>
      <w:r w:rsidRPr="00B22177">
        <w:rPr>
          <w:rFonts w:ascii="Arial" w:hAnsi="Arial" w:cs="Arial"/>
          <w:sz w:val="20"/>
          <w:szCs w:val="20"/>
        </w:rPr>
        <w:t xml:space="preserve">. Vada bude odstraněna v nejkratší možné lhůtě s ohledem na její povahu a dopad na činnost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. Jde-li o vadu způsobenou důvody na straně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, dohodne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B22177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B2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 uživatelem </w:t>
      </w:r>
      <w:r w:rsidRPr="00B22177">
        <w:rPr>
          <w:rFonts w:ascii="Arial" w:hAnsi="Arial" w:cs="Arial"/>
          <w:sz w:val="20"/>
          <w:szCs w:val="20"/>
        </w:rPr>
        <w:t>další postup.</w:t>
      </w:r>
    </w:p>
    <w:p w14:paraId="740C3CEA" w14:textId="77777777" w:rsidR="00C43CEA" w:rsidRPr="00B22177" w:rsidRDefault="00C43CEA" w:rsidP="00C43CEA">
      <w:pPr>
        <w:numPr>
          <w:ilvl w:val="0"/>
          <w:numId w:val="50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22177">
        <w:rPr>
          <w:rFonts w:ascii="Arial" w:hAnsi="Arial" w:cs="Arial"/>
          <w:b/>
          <w:sz w:val="20"/>
          <w:szCs w:val="20"/>
        </w:rPr>
        <w:t>Kategorie vady „</w:t>
      </w:r>
      <w:r>
        <w:rPr>
          <w:rFonts w:ascii="Arial" w:hAnsi="Arial" w:cs="Arial"/>
          <w:b/>
          <w:sz w:val="20"/>
          <w:szCs w:val="20"/>
        </w:rPr>
        <w:t>nízká</w:t>
      </w:r>
      <w:r w:rsidRPr="00B22177">
        <w:rPr>
          <w:rFonts w:ascii="Arial" w:hAnsi="Arial" w:cs="Arial"/>
          <w:b/>
          <w:sz w:val="20"/>
          <w:szCs w:val="20"/>
        </w:rPr>
        <w:t>“ nebo „</w:t>
      </w:r>
      <w:r>
        <w:rPr>
          <w:rFonts w:ascii="Arial" w:hAnsi="Arial" w:cs="Arial"/>
          <w:b/>
          <w:sz w:val="20"/>
          <w:szCs w:val="20"/>
        </w:rPr>
        <w:t>chyba:</w:t>
      </w:r>
      <w:r w:rsidRPr="00B22177">
        <w:rPr>
          <w:rFonts w:ascii="Arial" w:hAnsi="Arial" w:cs="Arial"/>
          <w:sz w:val="20"/>
          <w:szCs w:val="20"/>
        </w:rPr>
        <w:t xml:space="preserve"> vady neomezující provoz, jedná se o drobné vady, které nespadají do kategori</w:t>
      </w:r>
      <w:r>
        <w:rPr>
          <w:rFonts w:ascii="Arial" w:hAnsi="Arial" w:cs="Arial"/>
          <w:sz w:val="20"/>
          <w:szCs w:val="20"/>
        </w:rPr>
        <w:t>e</w:t>
      </w:r>
      <w:r w:rsidRPr="00B22177">
        <w:rPr>
          <w:rFonts w:ascii="Arial" w:hAnsi="Arial" w:cs="Arial"/>
          <w:sz w:val="20"/>
          <w:szCs w:val="20"/>
        </w:rPr>
        <w:t xml:space="preserve"> „vysoká“. Prodávající se zavazuje bezodkladně zahájit práce na odstranění vady a zajistit odstranění této vady ve lhůtě do 15 pracovních dnů od jejího nahlášení. Vada bude odstraněna v nejkratší možné lhůtě s ohledem na její povahu a dopad na činnost </w:t>
      </w:r>
      <w:r>
        <w:rPr>
          <w:rFonts w:ascii="Arial" w:hAnsi="Arial" w:cs="Arial"/>
          <w:sz w:val="20"/>
          <w:szCs w:val="20"/>
        </w:rPr>
        <w:t xml:space="preserve">kupujícího či </w:t>
      </w:r>
      <w:r w:rsidRPr="00B22177">
        <w:rPr>
          <w:rFonts w:ascii="Arial" w:hAnsi="Arial" w:cs="Arial"/>
          <w:sz w:val="20"/>
          <w:szCs w:val="20"/>
        </w:rPr>
        <w:t>uživatele, pokud nebude dohodnuto jinak.</w:t>
      </w:r>
      <w:r>
        <w:rPr>
          <w:rFonts w:ascii="Arial" w:hAnsi="Arial" w:cs="Arial"/>
          <w:sz w:val="20"/>
          <w:szCs w:val="20"/>
        </w:rPr>
        <w:t xml:space="preserve"> </w:t>
      </w:r>
      <w:r w:rsidRPr="00B22177">
        <w:rPr>
          <w:rFonts w:ascii="Arial" w:hAnsi="Arial" w:cs="Arial"/>
          <w:sz w:val="20"/>
          <w:szCs w:val="20"/>
        </w:rPr>
        <w:t xml:space="preserve">Jde-li o vadu způsobenou důvody na straně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 či </w:t>
      </w:r>
      <w:r>
        <w:rPr>
          <w:rFonts w:ascii="Arial" w:hAnsi="Arial" w:cs="Arial"/>
          <w:sz w:val="20"/>
          <w:szCs w:val="20"/>
        </w:rPr>
        <w:t>uživatele</w:t>
      </w:r>
      <w:r w:rsidRPr="00B22177">
        <w:rPr>
          <w:rFonts w:ascii="Arial" w:hAnsi="Arial" w:cs="Arial"/>
          <w:sz w:val="20"/>
          <w:szCs w:val="20"/>
        </w:rPr>
        <w:t>, dohodne s</w:t>
      </w:r>
      <w:r>
        <w:rPr>
          <w:rFonts w:ascii="Arial" w:hAnsi="Arial" w:cs="Arial"/>
          <w:sz w:val="20"/>
          <w:szCs w:val="20"/>
        </w:rPr>
        <w:t xml:space="preserve"> prodávající s kupujícím či uživatelem </w:t>
      </w:r>
      <w:r w:rsidRPr="00B22177">
        <w:rPr>
          <w:rFonts w:ascii="Arial" w:hAnsi="Arial" w:cs="Arial"/>
          <w:sz w:val="20"/>
          <w:szCs w:val="20"/>
        </w:rPr>
        <w:t>další postup.</w:t>
      </w:r>
    </w:p>
    <w:p w14:paraId="1489C888" w14:textId="77777777" w:rsidR="00C43CEA" w:rsidRPr="009C1D7B" w:rsidRDefault="00C43CEA" w:rsidP="00C43CEA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809E6">
        <w:rPr>
          <w:rFonts w:ascii="Arial" w:hAnsi="Arial" w:cs="Arial"/>
          <w:color w:val="000000"/>
        </w:rPr>
        <w:t xml:space="preserve">Zařazení vady do jednotlivých kategorií </w:t>
      </w:r>
      <w:r>
        <w:rPr>
          <w:rFonts w:ascii="Arial" w:hAnsi="Arial" w:cs="Arial"/>
          <w:color w:val="000000"/>
        </w:rPr>
        <w:t xml:space="preserve">dle předchozího odstavce </w:t>
      </w:r>
      <w:r w:rsidRPr="00C809E6">
        <w:rPr>
          <w:rFonts w:ascii="Arial" w:hAnsi="Arial" w:cs="Arial"/>
          <w:color w:val="000000"/>
        </w:rPr>
        <w:t xml:space="preserve">určuje </w:t>
      </w:r>
      <w:r>
        <w:rPr>
          <w:rFonts w:ascii="Arial" w:hAnsi="Arial" w:cs="Arial"/>
          <w:color w:val="000000"/>
        </w:rPr>
        <w:t>kupující či uživatel</w:t>
      </w:r>
      <w:r w:rsidRPr="00C809E6">
        <w:rPr>
          <w:rFonts w:ascii="Arial" w:hAnsi="Arial" w:cs="Arial"/>
          <w:color w:val="000000"/>
        </w:rPr>
        <w:t>.</w:t>
      </w:r>
    </w:p>
    <w:p w14:paraId="04DED610" w14:textId="77777777" w:rsidR="00C43CEA" w:rsidRPr="009C1D7B" w:rsidRDefault="00C43CEA" w:rsidP="00C43CEA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</w:t>
      </w:r>
      <w:r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technických požad</w:t>
      </w:r>
      <w:r>
        <w:rPr>
          <w:rFonts w:ascii="Arial" w:hAnsi="Arial" w:cs="Arial"/>
          <w:color w:val="000000"/>
        </w:rPr>
        <w:t>avcích na výrobky.</w:t>
      </w:r>
    </w:p>
    <w:p w14:paraId="73C6D051" w14:textId="77777777" w:rsidR="00C43CEA" w:rsidRDefault="00C43CEA" w:rsidP="00C43CEA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2D32AF95" w14:textId="77777777" w:rsidR="00C43CEA" w:rsidRDefault="00C43CEA" w:rsidP="00C43CEA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0C86C039" w14:textId="77777777" w:rsidR="00C43CEA" w:rsidRDefault="00C43CEA" w:rsidP="00C43CEA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2888FD10" w14:textId="77777777" w:rsidR="00C43CEA" w:rsidRDefault="00C43CEA" w:rsidP="00C43CEA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14:paraId="2A6104B0" w14:textId="77777777" w:rsidR="00C43CEA" w:rsidRDefault="00C43CEA" w:rsidP="00C43CEA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14:paraId="66FD9E6A" w14:textId="77777777" w:rsidR="00C43CEA" w:rsidRDefault="00C43CEA" w:rsidP="00C43CEA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2AB3377A" w14:textId="77777777" w:rsidR="00C43CEA" w:rsidRPr="009C1D7B" w:rsidRDefault="00C43CEA" w:rsidP="00C43CEA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38641D89" w14:textId="77777777" w:rsidR="00C43CEA" w:rsidRDefault="00C43CEA" w:rsidP="00C43CEA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C809E6">
        <w:rPr>
          <w:rFonts w:ascii="Arial" w:hAnsi="Arial" w:cs="Arial"/>
          <w:color w:val="000000"/>
        </w:rPr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73CDDEEB" w14:textId="77777777" w:rsidR="00C43CEA" w:rsidRPr="00C809E6" w:rsidRDefault="00C43CEA" w:rsidP="00C43CEA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případě, že kupující či uživatel reklamují vadu, u které je sporné, zda je reklamace oprávněná, je zhotovitel povinen tuto vadu odstranit ve sjednaných lhůtách bez ohledu na tuto skutečnost. Po odstranění vady má prodávající právo vydat prohlášení o neoprávněné reklamaci a má právo požadovat uhrazení skutečně a účelně vynaložených a prokázaných nákladů na odstranění vady. Prodávající má povinnost neoprávněnost reklamace doložit. V případě, že se kupující a prodávající neshodnou na posouzení oprávněnosti reklamace, rozhodne o její oprávněnosti znalec v příslušném oboru určený oběma smluvními stranami.</w:t>
      </w:r>
    </w:p>
    <w:p w14:paraId="2FEEC5A8" w14:textId="2DD6F033"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122C5314" w14:textId="02EA8F11"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5849B4E" w14:textId="77777777"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B46F113" w14:textId="5EBEFA5C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221C3D54" w14:textId="07F33D5B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56F3EEA" w14:textId="350645F9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103FC70C" w14:textId="352FF070"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BF4E175" w14:textId="54D0174D"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29F55408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C823ED9" w14:textId="332855DD"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06302733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E1129FD" w14:textId="3AB37DC7"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F46D14" w14:textId="30880D00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B7B5001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64B8FCDE" w14:textId="7CDA86D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27C9CDEE" w14:textId="3551F067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14:paraId="03EDF1EA" w14:textId="1EA4B652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5A66584D" w14:textId="3F57C070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14:paraId="235667F4" w14:textId="09714A9A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3ADD40C5"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díla 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14:paraId="7D4429BB" w14:textId="3E6D6384"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45F9EB5" w14:textId="77777777"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35878B1" w14:textId="1B3D97F3"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14:paraId="5CBDAD5D" w14:textId="7476871E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73B0C04B" w14:textId="77777777"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14:paraId="5ECDF295" w14:textId="211054EC"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14:paraId="1DE02934" w14:textId="77777777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4C8E3D4A" w14:textId="775C3626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7D20B6A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200CA40C" w14:textId="4ED8454A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0CD68FD7"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díla dle této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7300B6C1" w14:textId="489D769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14:paraId="7D6FFD46" w14:textId="62624BA5" w:rsidR="002C349D" w:rsidRPr="00C80E68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Smlouva nabývá platnosti dnem jejího podpisu oprávněnými zástupci </w:t>
      </w:r>
      <w:r w:rsidRPr="00C80E68">
        <w:rPr>
          <w:rFonts w:ascii="Arial" w:hAnsi="Arial" w:cs="Arial"/>
          <w:color w:val="000000"/>
        </w:rPr>
        <w:t>obou smluvních stran.</w:t>
      </w:r>
    </w:p>
    <w:p w14:paraId="4C546DAD" w14:textId="19D3009D" w:rsidR="002C349D" w:rsidRPr="00C80E68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C80E68">
        <w:rPr>
          <w:rFonts w:ascii="Arial" w:hAnsi="Arial" w:cs="Arial"/>
          <w:color w:val="000000"/>
        </w:rPr>
        <w:t xml:space="preserve">Nedílnou součástí smlouvy je </w:t>
      </w:r>
      <w:r w:rsidRPr="00C80E68">
        <w:rPr>
          <w:rFonts w:ascii="Arial" w:hAnsi="Arial" w:cs="Arial"/>
          <w:b/>
          <w:color w:val="000000"/>
        </w:rPr>
        <w:t xml:space="preserve">příloha č. 1 </w:t>
      </w:r>
      <w:r w:rsidR="007455D1" w:rsidRPr="00C80E68">
        <w:rPr>
          <w:rFonts w:ascii="Arial" w:hAnsi="Arial" w:cs="Arial"/>
          <w:b/>
          <w:color w:val="000000"/>
        </w:rPr>
        <w:t xml:space="preserve">– Technická specifikace </w:t>
      </w:r>
      <w:r w:rsidR="00F7257D">
        <w:rPr>
          <w:rFonts w:ascii="Arial" w:hAnsi="Arial" w:cs="Arial"/>
          <w:b/>
          <w:color w:val="000000"/>
        </w:rPr>
        <w:t>včetně výkazu výměr (položkový rozpočet)</w:t>
      </w:r>
    </w:p>
    <w:p w14:paraId="5E005A71" w14:textId="3D65FA5F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17E1BEFA" w14:textId="77777777"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14:paraId="4A684BA5" w14:textId="09A77DF8"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2AD614" w14:textId="77777777"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C638EA3" w14:textId="0539DC73"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4263E718" w14:textId="77777777" w:rsidR="007455D1" w:rsidRPr="0000760C" w:rsidRDefault="007455D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00760C">
        <w:rPr>
          <w:rFonts w:ascii="Arial" w:hAnsi="Arial" w:cs="Arial"/>
          <w:sz w:val="20"/>
          <w:szCs w:val="20"/>
          <w:highlight w:val="cyan"/>
        </w:rPr>
        <w:t>…</w:t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0DA56282" w14:textId="17CAD2A4" w:rsidR="007455D1" w:rsidRPr="0000760C" w:rsidRDefault="00DA74C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DA74C1">
        <w:rPr>
          <w:rFonts w:ascii="Arial" w:hAnsi="Arial" w:cs="Arial"/>
          <w:sz w:val="20"/>
          <w:szCs w:val="20"/>
          <w:highlight w:val="cyan"/>
        </w:rPr>
        <w:t>…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3A6904C5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762519C4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085A6666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0F1703A4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00F360FB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13DC2BB8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0085DD9B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2A934549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6ED5C5AA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1A0D0B0A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016D30EA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54FA2FE9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1D0CF29C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14C41E5F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42CDD1DE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6CF903B1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5C9B504E" w14:textId="77777777" w:rsidR="00E63368" w:rsidRDefault="00E63368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38D5768D" w14:textId="77777777" w:rsidR="00E07BCD" w:rsidRDefault="00E07BCD" w:rsidP="00E07BC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E07BCD" w:rsidSect="00B077EE">
      <w:footerReference w:type="even" r:id="rId11"/>
      <w:footerReference w:type="default" r:id="rId12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F5A5" w14:textId="77777777" w:rsidR="001B2839" w:rsidRDefault="001B2839">
      <w:r>
        <w:separator/>
      </w:r>
    </w:p>
  </w:endnote>
  <w:endnote w:type="continuationSeparator" w:id="0">
    <w:p w14:paraId="0411CD80" w14:textId="77777777" w:rsidR="001B2839" w:rsidRDefault="001B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0B04BB02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D20CE3">
      <w:rPr>
        <w:rStyle w:val="slostrnky"/>
        <w:rFonts w:ascii="Arial" w:hAnsi="Arial" w:cs="Arial"/>
        <w:noProof/>
        <w:sz w:val="16"/>
      </w:rPr>
      <w:t>2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D20CE3">
      <w:rPr>
        <w:rStyle w:val="slostrnky"/>
        <w:rFonts w:ascii="Arial" w:hAnsi="Arial" w:cs="Arial"/>
        <w:noProof/>
        <w:sz w:val="16"/>
      </w:rPr>
      <w:t>10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2970" w14:textId="77777777" w:rsidR="001B2839" w:rsidRDefault="001B2839">
      <w:r>
        <w:separator/>
      </w:r>
    </w:p>
  </w:footnote>
  <w:footnote w:type="continuationSeparator" w:id="0">
    <w:p w14:paraId="0A059B65" w14:textId="77777777" w:rsidR="001B2839" w:rsidRDefault="001B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23C18"/>
    <w:multiLevelType w:val="hybridMultilevel"/>
    <w:tmpl w:val="609A4914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885BD0"/>
    <w:multiLevelType w:val="hybridMultilevel"/>
    <w:tmpl w:val="FD7AC4E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B10177"/>
    <w:multiLevelType w:val="hybridMultilevel"/>
    <w:tmpl w:val="9D2411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5F77DB"/>
    <w:multiLevelType w:val="hybridMultilevel"/>
    <w:tmpl w:val="A6DE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25"/>
  </w:num>
  <w:num w:numId="3">
    <w:abstractNumId w:val="14"/>
  </w:num>
  <w:num w:numId="4">
    <w:abstractNumId w:val="30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5"/>
  </w:num>
  <w:num w:numId="10">
    <w:abstractNumId w:val="17"/>
  </w:num>
  <w:num w:numId="11">
    <w:abstractNumId w:val="19"/>
  </w:num>
  <w:num w:numId="12">
    <w:abstractNumId w:val="34"/>
  </w:num>
  <w:num w:numId="13">
    <w:abstractNumId w:val="21"/>
  </w:num>
  <w:num w:numId="14">
    <w:abstractNumId w:val="13"/>
  </w:num>
  <w:num w:numId="15">
    <w:abstractNumId w:val="36"/>
  </w:num>
  <w:num w:numId="16">
    <w:abstractNumId w:val="16"/>
  </w:num>
  <w:num w:numId="17">
    <w:abstractNumId w:val="15"/>
  </w:num>
  <w:num w:numId="18">
    <w:abstractNumId w:val="7"/>
  </w:num>
  <w:num w:numId="19">
    <w:abstractNumId w:val="31"/>
  </w:num>
  <w:num w:numId="20">
    <w:abstractNumId w:val="20"/>
  </w:num>
  <w:num w:numId="21">
    <w:abstractNumId w:val="18"/>
  </w:num>
  <w:num w:numId="22">
    <w:abstractNumId w:val="41"/>
  </w:num>
  <w:num w:numId="23">
    <w:abstractNumId w:val="37"/>
  </w:num>
  <w:num w:numId="24">
    <w:abstractNumId w:val="28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2"/>
  </w:num>
  <w:num w:numId="29">
    <w:abstractNumId w:val="29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2"/>
  </w:num>
  <w:num w:numId="34">
    <w:abstractNumId w:val="33"/>
  </w:num>
  <w:num w:numId="35">
    <w:abstractNumId w:val="47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6"/>
  </w:num>
  <w:num w:numId="40">
    <w:abstractNumId w:val="39"/>
  </w:num>
  <w:num w:numId="41">
    <w:abstractNumId w:val="40"/>
  </w:num>
  <w:num w:numId="42">
    <w:abstractNumId w:val="44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27"/>
  </w:num>
  <w:num w:numId="48">
    <w:abstractNumId w:val="43"/>
  </w:num>
  <w:num w:numId="49">
    <w:abstractNumId w:val="23"/>
  </w:num>
  <w:num w:numId="50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352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B23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0FF7"/>
    <w:rsid w:val="000B5B8D"/>
    <w:rsid w:val="000B6313"/>
    <w:rsid w:val="000B7FC7"/>
    <w:rsid w:val="000C0739"/>
    <w:rsid w:val="000C1C30"/>
    <w:rsid w:val="000C221F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E8E"/>
    <w:rsid w:val="00103FCC"/>
    <w:rsid w:val="001058A2"/>
    <w:rsid w:val="001075F0"/>
    <w:rsid w:val="00107952"/>
    <w:rsid w:val="00111439"/>
    <w:rsid w:val="00112A58"/>
    <w:rsid w:val="001139F6"/>
    <w:rsid w:val="00115118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2EBA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44202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59D9"/>
    <w:rsid w:val="002C69AF"/>
    <w:rsid w:val="002C712C"/>
    <w:rsid w:val="002C73BC"/>
    <w:rsid w:val="002D66C0"/>
    <w:rsid w:val="002E0983"/>
    <w:rsid w:val="002E26C2"/>
    <w:rsid w:val="002E2AD9"/>
    <w:rsid w:val="002E69AC"/>
    <w:rsid w:val="002F0099"/>
    <w:rsid w:val="002F03A1"/>
    <w:rsid w:val="002F2D0F"/>
    <w:rsid w:val="002F390D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29C2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031F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2AF8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33E"/>
    <w:rsid w:val="004D1C31"/>
    <w:rsid w:val="004D2A7B"/>
    <w:rsid w:val="004D3D3A"/>
    <w:rsid w:val="004D6817"/>
    <w:rsid w:val="004D7064"/>
    <w:rsid w:val="004E20CE"/>
    <w:rsid w:val="004E3C40"/>
    <w:rsid w:val="004E402C"/>
    <w:rsid w:val="004E593C"/>
    <w:rsid w:val="004E7A01"/>
    <w:rsid w:val="004E7DCB"/>
    <w:rsid w:val="004F2D9B"/>
    <w:rsid w:val="004F346B"/>
    <w:rsid w:val="004F523F"/>
    <w:rsid w:val="004F53B5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04E9"/>
    <w:rsid w:val="00532652"/>
    <w:rsid w:val="00534B36"/>
    <w:rsid w:val="00536BF9"/>
    <w:rsid w:val="0053788C"/>
    <w:rsid w:val="00542748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2B72"/>
    <w:rsid w:val="005F5861"/>
    <w:rsid w:val="005F5FDC"/>
    <w:rsid w:val="005F62D7"/>
    <w:rsid w:val="005F7A93"/>
    <w:rsid w:val="005F7C89"/>
    <w:rsid w:val="00600A94"/>
    <w:rsid w:val="0060295E"/>
    <w:rsid w:val="0060330A"/>
    <w:rsid w:val="00603734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4F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4E0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0F4C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0976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B85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4C68"/>
    <w:rsid w:val="00845085"/>
    <w:rsid w:val="008459F0"/>
    <w:rsid w:val="008460C4"/>
    <w:rsid w:val="00847B85"/>
    <w:rsid w:val="00850766"/>
    <w:rsid w:val="00854221"/>
    <w:rsid w:val="00857068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27AB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4EE7"/>
    <w:rsid w:val="008F6A31"/>
    <w:rsid w:val="008F6A3E"/>
    <w:rsid w:val="009030EA"/>
    <w:rsid w:val="00903114"/>
    <w:rsid w:val="00903ECB"/>
    <w:rsid w:val="00905E83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97E70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10438"/>
    <w:rsid w:val="00A107E7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4C71"/>
    <w:rsid w:val="00AB5CB4"/>
    <w:rsid w:val="00AB696C"/>
    <w:rsid w:val="00AC0E09"/>
    <w:rsid w:val="00AC27C5"/>
    <w:rsid w:val="00AC64BC"/>
    <w:rsid w:val="00AC653E"/>
    <w:rsid w:val="00AC7EC5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F1B34"/>
    <w:rsid w:val="00AF4EB0"/>
    <w:rsid w:val="00AF59C8"/>
    <w:rsid w:val="00B0377B"/>
    <w:rsid w:val="00B04131"/>
    <w:rsid w:val="00B0461C"/>
    <w:rsid w:val="00B05A22"/>
    <w:rsid w:val="00B06A3E"/>
    <w:rsid w:val="00B077EE"/>
    <w:rsid w:val="00B078F4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443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88D"/>
    <w:rsid w:val="00B86B0D"/>
    <w:rsid w:val="00B86F71"/>
    <w:rsid w:val="00B91AF0"/>
    <w:rsid w:val="00B94D72"/>
    <w:rsid w:val="00B964F2"/>
    <w:rsid w:val="00B975F4"/>
    <w:rsid w:val="00B97C49"/>
    <w:rsid w:val="00BA66A8"/>
    <w:rsid w:val="00BB272A"/>
    <w:rsid w:val="00BB29C3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1A3A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3BB3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3CEA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0E68"/>
    <w:rsid w:val="00C84E79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3A17"/>
    <w:rsid w:val="00D04C7D"/>
    <w:rsid w:val="00D14E5B"/>
    <w:rsid w:val="00D17D71"/>
    <w:rsid w:val="00D20CE3"/>
    <w:rsid w:val="00D23626"/>
    <w:rsid w:val="00D2446D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19EF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47A"/>
    <w:rsid w:val="00DF1BE5"/>
    <w:rsid w:val="00DF34CC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BCD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368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1BFC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556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257D"/>
    <w:rsid w:val="00F76118"/>
    <w:rsid w:val="00F7671E"/>
    <w:rsid w:val="00F767DA"/>
    <w:rsid w:val="00F81580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122C5228"/>
  <w15:docId w15:val="{7FC66005-7FF1-4E34-8139-75C2ED04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  <w:style w:type="character" w:customStyle="1" w:styleId="ZhlavChar">
    <w:name w:val="Záhlaví Char"/>
    <w:basedOn w:val="Standardnpsmoodstavce"/>
    <w:link w:val="Zhlav"/>
    <w:uiPriority w:val="99"/>
    <w:rsid w:val="00E63368"/>
  </w:style>
  <w:style w:type="table" w:styleId="Mkatabulky">
    <w:name w:val="Table Grid"/>
    <w:basedOn w:val="Normlntabulka"/>
    <w:locked/>
    <w:rsid w:val="002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2C59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2C59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C59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C59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C59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C59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24D6F-E386-4A85-9B9C-1DB1E9D74FA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766e70fa-7670-43a6-99e2-cc25946fa8e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8B3BBE-A962-42A6-A56C-B460789D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3909</Words>
  <Characters>23082</Characters>
  <Application>Microsoft Office Word</Application>
  <DocSecurity>4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26938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Klimešová Šárka Mgr.</cp:lastModifiedBy>
  <cp:revision>2</cp:revision>
  <cp:lastPrinted>2018-01-12T11:15:00Z</cp:lastPrinted>
  <dcterms:created xsi:type="dcterms:W3CDTF">2018-02-06T07:26:00Z</dcterms:created>
  <dcterms:modified xsi:type="dcterms:W3CDTF">2018-02-06T07:26:00Z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