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6BAB1801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B434AF" w:rsidRPr="007870A3">
        <w:rPr>
          <w:rFonts w:cs="Arial"/>
          <w:b/>
          <w:sz w:val="24"/>
        </w:rPr>
        <w:t xml:space="preserve">Lůžka pro intenzivní péči vč. matrací 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P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00AEDDF2" w:rsidR="00E725F3" w:rsidRPr="0099335A" w:rsidRDefault="00E725F3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Elektricky polohovatelná lůžka s laterálním náklonem určené pro potřeby intenzivní péče vč. pasivní antidekubitní matrace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39554AC4" w:rsidR="00E725F3" w:rsidRPr="0099335A" w:rsidRDefault="00C06F00" w:rsidP="0077336B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  <w:r w:rsidR="00E725F3" w:rsidRPr="0099335A">
              <w:rPr>
                <w:rFonts w:cs="Arial"/>
                <w:b/>
                <w:bCs/>
                <w:szCs w:val="20"/>
              </w:rPr>
              <w:t xml:space="preserve"> ks</w:t>
            </w:r>
          </w:p>
          <w:p w14:paraId="78F8D47C" w14:textId="39ACC4E8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442EB53" w14:textId="4973E430" w:rsidTr="005435EF">
        <w:trPr>
          <w:trHeight w:hRule="exact" w:val="42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92D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celkem za počet kusů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05DE60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0A01CE20" w14:textId="0879CC4D" w:rsidTr="00E725F3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34B8FABD" w:rsidR="00E725F3" w:rsidRPr="00CD7E69" w:rsidRDefault="00E725F3" w:rsidP="0077336B">
            <w:pPr>
              <w:spacing w:line="276" w:lineRule="auto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Bezpečnostní lůžka dle standardu IEC 60601-2-5</w:t>
            </w:r>
            <w:r>
              <w:rPr>
                <w:rFonts w:cs="Arial"/>
                <w:szCs w:val="20"/>
              </w:rPr>
              <w:t>2 v platném znění</w:t>
            </w:r>
            <w:r w:rsidRPr="00B47083">
              <w:rPr>
                <w:rFonts w:cs="Arial"/>
                <w:b/>
                <w:bCs/>
                <w:color w:val="FF000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0C395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83889A1" w14:textId="54C4109A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220F5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Konstrukce lůžka stabilní, lakovaná a snadno čistitelná včetně krytu podvozku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34E6758E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4BC3FBFE" w14:textId="0B180ED5" w:rsidTr="0003207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BF1053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lastRenderedPageBreak/>
              <w:t>Bezpečná pracovní zátěž min. 250 kg</w:t>
            </w:r>
          </w:p>
          <w:p w14:paraId="24E1EA1D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14B2B2B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619D9418" w14:textId="03DC5510" w:rsidTr="001F31AA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BEF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Plně elektricky polohovatelná čtyřdílná ložná plocha min. 200x90 cm – zádový, stehenní a lýtkový díl polohovatelný nezávisle pomocí elektromotorů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C83D580" w14:textId="4CC8B672" w:rsidTr="00BA5BE2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F433D" w14:textId="0047ABA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Zdvih ložné plochy pomocí elektromotoru min. v rozsahu 4</w:t>
            </w:r>
            <w:r>
              <w:rPr>
                <w:rFonts w:cs="Arial"/>
                <w:szCs w:val="20"/>
              </w:rPr>
              <w:t>5</w:t>
            </w:r>
            <w:r w:rsidRPr="00CD7E69">
              <w:rPr>
                <w:rFonts w:cs="Arial"/>
                <w:szCs w:val="20"/>
              </w:rPr>
              <w:t xml:space="preserve"> – 75 cm</w:t>
            </w:r>
            <w:r>
              <w:rPr>
                <w:rFonts w:cs="Arial"/>
                <w:szCs w:val="20"/>
              </w:rPr>
              <w:t xml:space="preserve"> pro bezpečnou práci personálu,  bezpečnou péči a mobilizaci pacienta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3AD8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156C8B26" w14:textId="272636A4" w:rsidTr="00880330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3859213E" w:rsidR="00E725F3" w:rsidRPr="00CD7E69" w:rsidRDefault="00E725F3" w:rsidP="0077336B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 xml:space="preserve">Integrované prodloužení/zkrácení lůžka o min. </w:t>
            </w:r>
            <w:r>
              <w:rPr>
                <w:rFonts w:cs="Arial"/>
                <w:szCs w:val="20"/>
              </w:rPr>
              <w:t>20</w:t>
            </w:r>
            <w:r w:rsidRPr="00CD7E69">
              <w:rPr>
                <w:rFonts w:cs="Arial"/>
                <w:szCs w:val="20"/>
              </w:rPr>
              <w:t xml:space="preserve"> cm pomocí elektromotoru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288FDDEA" w14:textId="42407F5D" w:rsidTr="00E725F3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Zádový a stehenní díl s automatickým odsunem (</w:t>
            </w:r>
            <w:proofErr w:type="spellStart"/>
            <w:r w:rsidRPr="00CD7E69">
              <w:rPr>
                <w:rFonts w:cs="Arial"/>
                <w:szCs w:val="20"/>
              </w:rPr>
              <w:t>autoregresí</w:t>
            </w:r>
            <w:proofErr w:type="spellEnd"/>
            <w:r w:rsidRPr="00CD7E69">
              <w:rPr>
                <w:rFonts w:cs="Arial"/>
                <w:szCs w:val="20"/>
              </w:rPr>
              <w:t>) při polohování pro eliminaci tlaku působícího na pacienta (prevenci dekubitů)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F35EF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25F3" w14:paraId="0BA3108A" w14:textId="50170134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9E7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Integrovaný indikátor stupně náklonu zádového dílu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14C5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9782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5FAE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2DA7B9D" w14:textId="1DC7A060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04E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Možnost snímání pacienta C-ramenem – ložná plocha RTG transparentní v rozsahu minimálně od hlavy po pánevní oblast. RTG kazeta pod ložnou plochou dostupná ze strany lůžka.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5444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4CD805B" w14:textId="2075D9CE" w:rsidTr="006D60E3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B4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 xml:space="preserve">Náklon do </w:t>
            </w:r>
            <w:proofErr w:type="spellStart"/>
            <w:r w:rsidRPr="00CD7E69">
              <w:rPr>
                <w:rFonts w:cs="Arial"/>
                <w:szCs w:val="20"/>
              </w:rPr>
              <w:t>Trendelenburgovy</w:t>
            </w:r>
            <w:proofErr w:type="spellEnd"/>
            <w:r w:rsidRPr="00CD7E69">
              <w:rPr>
                <w:rFonts w:cs="Arial"/>
                <w:szCs w:val="20"/>
              </w:rPr>
              <w:t xml:space="preserve"> a </w:t>
            </w:r>
            <w:proofErr w:type="spellStart"/>
            <w:r w:rsidRPr="00CD7E69">
              <w:rPr>
                <w:rFonts w:cs="Arial"/>
                <w:szCs w:val="20"/>
              </w:rPr>
              <w:t>Antitrendelenburgovy</w:t>
            </w:r>
            <w:proofErr w:type="spellEnd"/>
            <w:r w:rsidRPr="00CD7E69">
              <w:rPr>
                <w:rFonts w:cs="Arial"/>
                <w:szCs w:val="20"/>
              </w:rPr>
              <w:t xml:space="preserve"> polohy min. 12° pomocí elektromotoru, integrovaný indikátor stupně náklonu.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3DAC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E3CDE1F" w14:textId="56411AA3" w:rsidTr="00C1171D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111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Oboustranný laterální náklon min. +/-15° pomocí elektromotoru, automatická blokace náklonu při spuštění postranice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5B28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EA782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7D57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AC76C53" w14:textId="33B48EB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6D4" w14:textId="664E7906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Oboustranně m</w:t>
            </w:r>
            <w:r w:rsidRPr="00CD7E69">
              <w:rPr>
                <w:rFonts w:cs="Arial"/>
                <w:szCs w:val="20"/>
              </w:rPr>
              <w:t xml:space="preserve">echanické </w:t>
            </w:r>
            <w:proofErr w:type="spellStart"/>
            <w:r w:rsidRPr="00CD7E69">
              <w:rPr>
                <w:rFonts w:cs="Arial"/>
                <w:szCs w:val="20"/>
              </w:rPr>
              <w:t>rychlospuštění</w:t>
            </w:r>
            <w:proofErr w:type="spellEnd"/>
            <w:r w:rsidRPr="00CD7E69">
              <w:rPr>
                <w:rFonts w:cs="Arial"/>
                <w:szCs w:val="20"/>
              </w:rPr>
              <w:t xml:space="preserve"> zádového dílu (CPR), ovladač dobře dostupný v jakékoli poloze lůžka s aktivovanými i sklopenými postranicemi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777F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1835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D4F36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58B29FE" w14:textId="748B85B8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E27" w14:textId="41D6DDD1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Kompaktní (velmi snadno čistitelná, bez pórů a spár) plastová odnímatelná čela</w:t>
            </w:r>
            <w:r w:rsidR="00EB582D">
              <w:rPr>
                <w:rFonts w:cs="Arial"/>
                <w:szCs w:val="20"/>
              </w:rPr>
              <w:t>, min. s aretací u nožní části,</w:t>
            </w:r>
            <w:r w:rsidRPr="00CD7E69">
              <w:rPr>
                <w:rFonts w:cs="Arial"/>
                <w:szCs w:val="20"/>
              </w:rPr>
              <w:t xml:space="preserve"> proti samovolnému vytažení při transportu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ED0C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D6BB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5DDF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71BF96D" w14:textId="3B719CA8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6DE0" w14:textId="063BB2F0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Kompaktní (velmi snadno čistitelné, bez pórů a spár) plastové dělené postranice</w:t>
            </w:r>
            <w:r>
              <w:rPr>
                <w:rFonts w:cs="Arial"/>
                <w:szCs w:val="20"/>
              </w:rPr>
              <w:t xml:space="preserve"> po celé délce ložné plochy lůžka (v případě, že postranice nejsou po celé délce ložné plochy, je nutné lůžka vybavit dodatečným dílem postranic pro pokrytí celé délky lůžka po obou stranách)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3F7A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F996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3B4E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5E3DBA9" w14:textId="0D8F8332" w:rsidTr="00D0248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7AA" w14:textId="4A9A7F8A" w:rsidR="00E725F3" w:rsidRPr="00E725F3" w:rsidRDefault="00E725F3" w:rsidP="00E725F3">
            <w:pPr>
              <w:rPr>
                <w:rFonts w:cs="Arial"/>
                <w:i/>
                <w:iCs/>
              </w:rPr>
            </w:pPr>
            <w:r w:rsidRPr="00CD7E69">
              <w:rPr>
                <w:rFonts w:cs="Arial"/>
                <w:szCs w:val="20"/>
              </w:rPr>
              <w:t>Výška postranic</w:t>
            </w:r>
            <w:r>
              <w:rPr>
                <w:rFonts w:cs="Arial"/>
                <w:szCs w:val="20"/>
              </w:rPr>
              <w:t xml:space="preserve"> dostatečná pro použití aktivního antidekubitního systému -</w:t>
            </w:r>
            <w:r w:rsidRPr="00CD7E6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min. 45 cm, bezpečné sklápění postranic s tlumičem či </w:t>
            </w:r>
            <w:proofErr w:type="spellStart"/>
            <w:r>
              <w:rPr>
                <w:rFonts w:cs="Arial"/>
                <w:szCs w:val="20"/>
              </w:rPr>
              <w:t>plynopružinou</w:t>
            </w:r>
            <w:proofErr w:type="spellEnd"/>
            <w:r>
              <w:rPr>
                <w:rFonts w:cs="Arial"/>
                <w:szCs w:val="20"/>
              </w:rPr>
              <w:t xml:space="preserve">, automatická blokace spuštění při zatížení pacientem zevnitř. </w:t>
            </w:r>
            <w:r>
              <w:rPr>
                <w:rFonts w:cs="Arial"/>
              </w:rPr>
              <w:t>Postranice musí zajistit dostatečnou ochranu proti pádu či zaklínění pacienta dle platné normy (</w:t>
            </w:r>
            <w:r>
              <w:rPr>
                <w:rFonts w:cs="Arial"/>
                <w:i/>
                <w:iCs/>
              </w:rPr>
              <w:t>viz. požadavek výše).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03D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804F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8CC03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3CB35CAE" w14:textId="47A7676E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6D0" w14:textId="77777777" w:rsidR="00E725F3" w:rsidRPr="00CD7E69" w:rsidRDefault="00E725F3" w:rsidP="0077336B">
            <w:pPr>
              <w:jc w:val="both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Integrovaný pacientský ovladač z vnitřní strany postranic s možností blokace (zámky) jednotlivých funkcí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2FCC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92C4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C6B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0BE7AA8" w14:textId="02CF5FE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8E0" w14:textId="78CC3DD3" w:rsidR="00E725F3" w:rsidRPr="00F033C8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Centrální s</w:t>
            </w:r>
            <w:r w:rsidRPr="007E63EA">
              <w:rPr>
                <w:rFonts w:cs="Arial"/>
              </w:rPr>
              <w:t xml:space="preserve">esterský ovládací panel </w:t>
            </w:r>
            <w:r>
              <w:rPr>
                <w:rFonts w:cs="Arial"/>
              </w:rPr>
              <w:t xml:space="preserve">pro ovládání lůžka, vážícího systému a programovatelných funkcí. Musí být opatřen ochranou proti nechtěné aktivaci, s možností blokace (zámky) jednotlivých funkcí a </w:t>
            </w:r>
            <w:proofErr w:type="spellStart"/>
            <w:r>
              <w:rPr>
                <w:rFonts w:cs="Arial"/>
              </w:rPr>
              <w:t>přednaprogramovanými</w:t>
            </w:r>
            <w:proofErr w:type="spellEnd"/>
            <w:r>
              <w:rPr>
                <w:rFonts w:cs="Arial"/>
              </w:rPr>
              <w:t xml:space="preserve"> důležitými polohami (minimálně: resuscitační poloha KPR, </w:t>
            </w:r>
            <w:proofErr w:type="spellStart"/>
            <w:r>
              <w:rPr>
                <w:rFonts w:cs="Arial"/>
              </w:rPr>
              <w:t>Trendelenburgova</w:t>
            </w:r>
            <w:proofErr w:type="spellEnd"/>
            <w:r>
              <w:rPr>
                <w:rFonts w:cs="Arial"/>
              </w:rPr>
              <w:t xml:space="preserve"> poloha, nastavení zádového dílu na 30°, kardiacké křeslo, případně další …) – v provedení buď oboustranně pouze z vnější strany postranic integrované centrální sesterské dotykové LCD ovládací panely nebo v provedení, kdy centrální </w:t>
            </w:r>
            <w:r>
              <w:rPr>
                <w:rFonts w:cs="Arial"/>
              </w:rPr>
              <w:lastRenderedPageBreak/>
              <w:t xml:space="preserve">sesterský ovládací panel je jednoduše přístupný obsluhujícímu personálu a je možné ho bezpečně umístit na lůžko a zároveň oboustranně z vnější strany postranic integrovaný sesterský modul se základními funkcemi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4B8A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C61B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9FF44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236F9082" w14:textId="5B6AC77F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ADA0" w14:textId="4E4334A5" w:rsidR="00E725F3" w:rsidRPr="00E725F3" w:rsidRDefault="00E725F3" w:rsidP="00E725F3">
            <w:pPr>
              <w:pStyle w:val="Textkomente"/>
            </w:pPr>
            <w:r w:rsidRPr="007E63EA">
              <w:rPr>
                <w:rFonts w:cs="Arial"/>
              </w:rPr>
              <w:t>Integrovaný vážící systém umožňující vážení pacienta</w:t>
            </w:r>
            <w:r>
              <w:rPr>
                <w:rFonts w:cs="Arial"/>
              </w:rPr>
              <w:t xml:space="preserve">, s pamětí naměřených hodnot a s eliminací vlivu přidávaných a odebíraných předmětů na vlastní hmotnost pacienta.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9C10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FAEB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74281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6B5756E" w14:textId="45336CE6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C1C" w14:textId="77777777" w:rsidR="00E725F3" w:rsidRPr="007E63EA" w:rsidRDefault="00E725F3" w:rsidP="0077336B">
            <w:pPr>
              <w:pStyle w:val="Textkomente"/>
              <w:rPr>
                <w:rFonts w:cs="Arial"/>
              </w:rPr>
            </w:pPr>
            <w:r>
              <w:rPr>
                <w:rFonts w:cs="Arial"/>
              </w:rPr>
              <w:t>Integrovaný bezpečnostní alarm při opuštění lůžka pacientem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CEE7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615F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E58C4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4D57795" w14:textId="61430F4D" w:rsidTr="00012C0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0D8" w14:textId="77777777" w:rsidR="00E725F3" w:rsidRPr="00F033C8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Dvojitá kolečka s centrálním ovládáním brzd, průměr min. 150 mm, ovládací páka dobře dostupná v jakékoli poloze lůžka, postranic, atd.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28BB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06BEE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EEDD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A705FF8" w14:textId="25E63389" w:rsidTr="003A734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4C4" w14:textId="3547CED6" w:rsidR="00E725F3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Páté centrální kolečko pro snadný transport a manipulaci, odpružené – musí zajišťovat dokonalou adhezi k podlaze a jeho zdvih odpružení musí umožnit bez problému překonat dle norem nerovnost o výšce min. 20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70AE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A5FF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3C2A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405A7CFE" w14:textId="275E1BEA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A62" w14:textId="77777777" w:rsidR="00E725F3" w:rsidRDefault="00E725F3" w:rsidP="0077336B">
            <w:pPr>
              <w:jc w:val="both"/>
              <w:rPr>
                <w:rFonts w:cs="Arial"/>
              </w:rPr>
            </w:pPr>
            <w:r w:rsidRPr="007E63EA">
              <w:rPr>
                <w:rFonts w:cs="Arial"/>
              </w:rPr>
              <w:t xml:space="preserve">Centrální ovládání brzd koleček, 4 brzdové páky, ovládání od nožní i hlavové části, </w:t>
            </w:r>
            <w:r>
              <w:rPr>
                <w:rFonts w:cs="Arial"/>
              </w:rPr>
              <w:t xml:space="preserve">ovládá i </w:t>
            </w:r>
            <w:r w:rsidRPr="007E63EA">
              <w:rPr>
                <w:rFonts w:cs="Arial"/>
              </w:rPr>
              <w:t>aretac</w:t>
            </w:r>
            <w:r>
              <w:rPr>
                <w:rFonts w:cs="Arial"/>
              </w:rPr>
              <w:t>i</w:t>
            </w:r>
            <w:r w:rsidRPr="007E63EA">
              <w:rPr>
                <w:rFonts w:cs="Arial"/>
              </w:rPr>
              <w:t xml:space="preserve"> kolečka pro přímý směr</w:t>
            </w:r>
            <w:r>
              <w:rPr>
                <w:rFonts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C4ACD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728F0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61A4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5A81CEF2" w14:textId="1CFBCFD9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9C2" w14:textId="77777777" w:rsidR="00E725F3" w:rsidRPr="00C21CCB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Systém ochrany před opomenutím nezabrzděného lůžka (alarm nebržděného lůžka, automatická brzda, apod.)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A03BF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8EFB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171F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57E2323" w14:textId="4C5E5BDC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F39" w14:textId="77777777" w:rsidR="00E725F3" w:rsidRPr="00C21CCB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Ochranná kolečka v rozích lůžka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835B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13F1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6F12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5B824A5B" w14:textId="4E8EEE30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ECBD" w14:textId="77777777" w:rsidR="00E725F3" w:rsidRPr="00C21CCB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Univerzální lišty a držáky na příslušenství po obou stranách lůžka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AC6E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E821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4930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D91367C" w14:textId="339993D1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015" w14:textId="268B66E4" w:rsidR="00E725F3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Zálohová baterie autodiagnostikou kapacity a životnosti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EC04B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3B34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C880B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8035E01" w14:textId="17FE7A0C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95E1" w14:textId="18C3186A" w:rsidR="00E725F3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Systém automatické ochrany všech motorů při mechanickém přetížení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8AFD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EBE32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CCD1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19F41F91" w14:textId="5275B890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DE1C" w14:textId="3DA53B04" w:rsidR="00E725F3" w:rsidRDefault="00E725F3" w:rsidP="0077336B">
            <w:pPr>
              <w:jc w:val="both"/>
              <w:rPr>
                <w:rFonts w:cs="Arial"/>
              </w:rPr>
            </w:pPr>
            <w:r>
              <w:rPr>
                <w:color w:val="000000"/>
              </w:rPr>
              <w:t>Svorka pro vyrovnání el. potencionálu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3E9F47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14F1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63CCA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6634D5E0" w14:textId="00C6C802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85E6" w14:textId="77777777" w:rsidR="00E725F3" w:rsidRDefault="00E725F3" w:rsidP="007733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Přívodní barevně zvýrazněný kroucený EU přívodní kabel 230-240V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D9F2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033E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3B82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7499F01" w14:textId="74ECE904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94B" w14:textId="06D5EF7C" w:rsidR="00E725F3" w:rsidRDefault="00E725F3" w:rsidP="0077336B">
            <w:pPr>
              <w:jc w:val="both"/>
              <w:rPr>
                <w:rFonts w:cs="Arial"/>
              </w:rPr>
            </w:pPr>
            <w:r>
              <w:rPr>
                <w:color w:val="000000"/>
              </w:rPr>
              <w:t>Možnost exportu servisních dat z řídící jednotky pro rychlou diagnostiku a prevenci závad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F63B89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AD78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427E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2FDDA86D" w14:textId="7D6AAC17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8DA" w14:textId="40DC578A" w:rsidR="00E725F3" w:rsidDel="007E2DB5" w:rsidRDefault="00E725F3" w:rsidP="0077336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Zařízení musí být certifikováno jako zdravotnický prostředek a musí být označeno značkou shody 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DB9F6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3F93E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58E7E5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0B10B7DA" w14:textId="6DC4E147" w:rsidTr="00E725F3">
        <w:trPr>
          <w:trHeight w:val="567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659BA4" w14:textId="6DB26798" w:rsidR="00E725F3" w:rsidRPr="00A27F37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A27F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Příslušenství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035DA0" w14:textId="77777777" w:rsidR="00E725F3" w:rsidRPr="00A27F37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725F3" w14:paraId="35A323EC" w14:textId="5D2B9C83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553" w14:textId="0F64881B" w:rsidR="00E725F3" w:rsidRDefault="00E725F3" w:rsidP="0077336B">
            <w:pPr>
              <w:rPr>
                <w:rFonts w:cs="Arial"/>
              </w:rPr>
            </w:pPr>
            <w:r>
              <w:rPr>
                <w:rFonts w:cs="Arial"/>
              </w:rPr>
              <w:t xml:space="preserve">- polička na psaní na platová nebo trubková čela lůžka, podpora pro psaní pro ošetřující personál </w:t>
            </w:r>
          </w:p>
          <w:p w14:paraId="1B59DD8C" w14:textId="38F291E2" w:rsidR="00E725F3" w:rsidRDefault="00E725F3" w:rsidP="0077336B">
            <w:pPr>
              <w:rPr>
                <w:rFonts w:cs="Arial"/>
              </w:rPr>
            </w:pPr>
            <w:r>
              <w:rPr>
                <w:rFonts w:cs="Arial"/>
              </w:rPr>
              <w:t xml:space="preserve">- infuzní stojan nasazovací do držáku hrazdy (možnost záměny stran umístění) </w:t>
            </w:r>
          </w:p>
          <w:p w14:paraId="619506C5" w14:textId="396D0D2B" w:rsidR="00E725F3" w:rsidRDefault="00E725F3" w:rsidP="0077336B">
            <w:pPr>
              <w:rPr>
                <w:rFonts w:cs="Arial"/>
              </w:rPr>
            </w:pPr>
            <w:r>
              <w:rPr>
                <w:rFonts w:cs="Arial"/>
              </w:rPr>
              <w:t>- hrazda k lůžku a hrazdička plastová vč. popruhu</w:t>
            </w:r>
          </w:p>
          <w:p w14:paraId="18392E89" w14:textId="010AA2AA" w:rsidR="00C06F00" w:rsidRDefault="00C06F00" w:rsidP="0077336B">
            <w:pPr>
              <w:rPr>
                <w:rFonts w:cs="Arial"/>
              </w:rPr>
            </w:pPr>
            <w:r>
              <w:rPr>
                <w:rFonts w:cs="Arial"/>
              </w:rPr>
              <w:t>- přenosný držák močové láhve</w:t>
            </w:r>
          </w:p>
          <w:p w14:paraId="28EC191F" w14:textId="43187867" w:rsidR="00C06F00" w:rsidRDefault="00C06F00" w:rsidP="0077336B">
            <w:pPr>
              <w:rPr>
                <w:rFonts w:cs="Arial"/>
              </w:rPr>
            </w:pPr>
            <w:r>
              <w:rPr>
                <w:rFonts w:cs="Arial"/>
              </w:rPr>
              <w:t>- lišta s pohyblivými háčky na obě strany lůžka</w:t>
            </w:r>
          </w:p>
          <w:p w14:paraId="6D7D3898" w14:textId="2CF19B81" w:rsidR="00C06F00" w:rsidRDefault="00C06F00" w:rsidP="0077336B">
            <w:pPr>
              <w:rPr>
                <w:rFonts w:cs="Arial"/>
              </w:rPr>
            </w:pPr>
            <w:r>
              <w:rPr>
                <w:rFonts w:cs="Arial"/>
              </w:rPr>
              <w:t>- možnost upevnění mobilního monitoru na jakékoliv lůžko</w:t>
            </w:r>
          </w:p>
          <w:p w14:paraId="2D319546" w14:textId="77777777" w:rsidR="00E725F3" w:rsidRDefault="00E725F3" w:rsidP="0077336B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72DF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BCA0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0422D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14:paraId="74FB3802" w14:textId="57B4A901" w:rsidTr="00E725F3">
        <w:trPr>
          <w:trHeight w:val="567"/>
        </w:trPr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EAFD0F" w14:textId="04A1320F" w:rsidR="00E725F3" w:rsidRPr="008041C5" w:rsidRDefault="00E725F3" w:rsidP="0077336B">
            <w:pPr>
              <w:spacing w:before="120" w:after="12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Pasivní antidekubitní matrace, vhodná pro vyšší riziko vzniku dekubitů ke každému lůžku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8C48220" w14:textId="77777777" w:rsidR="00E725F3" w:rsidRDefault="00E725F3" w:rsidP="0077336B">
            <w:pPr>
              <w:spacing w:before="120" w:after="120"/>
              <w:rPr>
                <w:b/>
                <w:bCs/>
              </w:rPr>
            </w:pPr>
          </w:p>
        </w:tc>
      </w:tr>
      <w:tr w:rsidR="00E725F3" w14:paraId="531D48A3" w14:textId="35C0DBA5" w:rsidTr="00E725F3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5F6EE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33C8">
              <w:rPr>
                <w:rFonts w:cs="Arial"/>
              </w:rPr>
              <w:t xml:space="preserve">Pasivní antidekubitní matrace </w:t>
            </w:r>
            <w:r>
              <w:rPr>
                <w:rFonts w:cs="Arial"/>
              </w:rPr>
              <w:t>pro vyšší stupeň dekubitů (III. – IV. stupeň)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DFEF3E8" w14:textId="77777777" w:rsidR="00E725F3" w:rsidRDefault="00E725F3" w:rsidP="007733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DFF741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B71080" w14:textId="77777777" w:rsidR="00E725F3" w:rsidRDefault="00E725F3" w:rsidP="0077336B">
            <w:pPr>
              <w:jc w:val="center"/>
            </w:pPr>
          </w:p>
        </w:tc>
      </w:tr>
      <w:tr w:rsidR="00E725F3" w14:paraId="4A923DA7" w14:textId="0400C3E3" w:rsidTr="00FD25D8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DBE47" w14:textId="06883EDB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7BF6">
              <w:t xml:space="preserve">Výška matrace min. </w:t>
            </w:r>
            <w:r>
              <w:t>14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3B96D4E" w14:textId="77777777" w:rsidR="00E725F3" w:rsidRDefault="00E725F3" w:rsidP="007733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A31610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79696" w14:textId="77777777" w:rsidR="00E725F3" w:rsidRDefault="00E725F3" w:rsidP="0077336B">
            <w:pPr>
              <w:jc w:val="center"/>
            </w:pPr>
          </w:p>
        </w:tc>
      </w:tr>
      <w:tr w:rsidR="00E725F3" w14:paraId="1A87AC9D" w14:textId="1D08B809" w:rsidTr="00E725F3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43FFF" w14:textId="77777777" w:rsidR="00E725F3" w:rsidRPr="00BA3336" w:rsidRDefault="00E725F3" w:rsidP="0077336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7BF6">
              <w:t>Rozměr odpovídající rozměru lůžka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D7E7DD" w14:textId="77777777" w:rsidR="00E725F3" w:rsidRDefault="00E725F3" w:rsidP="007733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E6D50B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88E5F1" w14:textId="77777777" w:rsidR="00E725F3" w:rsidRDefault="00E725F3" w:rsidP="0077336B">
            <w:pPr>
              <w:jc w:val="center"/>
            </w:pPr>
          </w:p>
        </w:tc>
      </w:tr>
      <w:tr w:rsidR="00E725F3" w14:paraId="3F4C1955" w14:textId="08EA42FE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5C51B" w14:textId="77777777" w:rsidR="00E725F3" w:rsidRPr="00BA3336" w:rsidRDefault="00E725F3" w:rsidP="007733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Arial"/>
              </w:rPr>
              <w:t>Materiál jádra matrace – kombinovaný ze studené pěny PUR (nosná část) a viskoelastické pěny (povrchová vrstva)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60177273" w14:textId="77777777" w:rsidR="00E725F3" w:rsidRPr="002E2597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E8E9737" w14:textId="77777777" w:rsidR="00E725F3" w:rsidRDefault="00E725F3" w:rsidP="0077336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18C83E" w14:textId="77777777" w:rsidR="00E725F3" w:rsidRDefault="00E725F3" w:rsidP="0077336B"/>
        </w:tc>
      </w:tr>
      <w:tr w:rsidR="00E725F3" w14:paraId="7DAD26D8" w14:textId="37C6AE51" w:rsidTr="00AB0AF8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CCB96E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Povrchová vrstva z </w:t>
            </w:r>
            <w:proofErr w:type="spellStart"/>
            <w:r>
              <w:t>viscoelatické</w:t>
            </w:r>
            <w:proofErr w:type="spellEnd"/>
            <w:r>
              <w:t xml:space="preserve"> pěny min. 5 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0F27BD0" w14:textId="77777777" w:rsidR="00E725F3" w:rsidRPr="002E2597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184C603" w14:textId="77777777" w:rsidR="00E725F3" w:rsidRDefault="00E725F3" w:rsidP="0077336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1A3151" w14:textId="77777777" w:rsidR="00E725F3" w:rsidRDefault="00E725F3" w:rsidP="0077336B"/>
        </w:tc>
      </w:tr>
      <w:tr w:rsidR="00E725F3" w14:paraId="13974AB7" w14:textId="73E2CCBC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D32" w14:textId="19E7D7AA" w:rsidR="00E725F3" w:rsidRPr="00BA3336" w:rsidRDefault="00E725F3" w:rsidP="0077336B">
            <w:pPr>
              <w:tabs>
                <w:tab w:val="left" w:pos="106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Jádro zajišťující zónovou tuhost alespoň v</w:t>
            </w:r>
            <w:r w:rsidR="00EB582D">
              <w:t>e</w:t>
            </w:r>
            <w:r>
              <w:t> </w:t>
            </w:r>
            <w:r w:rsidR="00EB582D">
              <w:t>3</w:t>
            </w:r>
            <w:r>
              <w:t xml:space="preserve"> zónách a dobrou ventilaci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E51BB9" w14:textId="77777777" w:rsidR="00E725F3" w:rsidRPr="00241E4F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569C3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5401B" w14:textId="77777777" w:rsidR="00E725F3" w:rsidRDefault="00E725F3" w:rsidP="0077336B">
            <w:pPr>
              <w:jc w:val="center"/>
            </w:pPr>
          </w:p>
        </w:tc>
      </w:tr>
      <w:tr w:rsidR="00E725F3" w14:paraId="6F9982B1" w14:textId="360936BB" w:rsidTr="00F15C51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AA97" w14:textId="77777777" w:rsidR="00E725F3" w:rsidRPr="00BA3336" w:rsidRDefault="00E725F3" w:rsidP="007733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33C8">
              <w:rPr>
                <w:rFonts w:cs="Arial"/>
              </w:rPr>
              <w:t xml:space="preserve">Nosnost matrace min. </w:t>
            </w:r>
            <w:r>
              <w:rPr>
                <w:rFonts w:cs="Arial"/>
              </w:rPr>
              <w:t>190</w:t>
            </w:r>
            <w:r w:rsidRPr="00F033C8">
              <w:rPr>
                <w:rFonts w:cs="Arial"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093F65" w14:textId="77777777" w:rsidR="00E725F3" w:rsidRPr="00241E4F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D1C5AF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5857E" w14:textId="77777777" w:rsidR="00E725F3" w:rsidRDefault="00E725F3" w:rsidP="0077336B">
            <w:pPr>
              <w:jc w:val="center"/>
            </w:pPr>
          </w:p>
        </w:tc>
      </w:tr>
      <w:tr w:rsidR="00E725F3" w14:paraId="57E7D121" w14:textId="0F5EF949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34D" w14:textId="77777777" w:rsidR="00E725F3" w:rsidRPr="00F033C8" w:rsidRDefault="00E725F3" w:rsidP="0077336B">
            <w:pPr>
              <w:rPr>
                <w:rFonts w:cs="Arial"/>
              </w:rPr>
            </w:pPr>
            <w:r>
              <w:t>Materiál jádra (všechny pěny) se sníženou hořlavostí (min. CRIB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94680" w14:textId="77777777" w:rsidR="00E725F3" w:rsidRPr="00241E4F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27B10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E1613" w14:textId="77777777" w:rsidR="00E725F3" w:rsidRDefault="00E725F3" w:rsidP="0077336B">
            <w:pPr>
              <w:jc w:val="center"/>
            </w:pPr>
          </w:p>
        </w:tc>
      </w:tr>
      <w:tr w:rsidR="00E725F3" w14:paraId="2FBBFA5D" w14:textId="6AF1A55A" w:rsidTr="00847B75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013" w14:textId="77777777" w:rsidR="00E725F3" w:rsidRPr="00F033C8" w:rsidRDefault="00E725F3" w:rsidP="0077336B">
            <w:pPr>
              <w:rPr>
                <w:rFonts w:cs="Arial"/>
              </w:rPr>
            </w:pPr>
            <w:r>
              <w:t>Nosná část z PUR pěny o hustotě materiálu min. 40 kg/m</w:t>
            </w:r>
            <w:r>
              <w:rPr>
                <w:rFonts w:cs="Arial"/>
              </w:rPr>
              <w:t>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58ED0C" w14:textId="77777777" w:rsidR="00E725F3" w:rsidRPr="00241E4F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8ABE86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14E5A" w14:textId="77777777" w:rsidR="00E725F3" w:rsidRDefault="00E725F3" w:rsidP="0077336B">
            <w:pPr>
              <w:jc w:val="center"/>
            </w:pPr>
          </w:p>
        </w:tc>
      </w:tr>
      <w:tr w:rsidR="00E725F3" w14:paraId="0D71F2DF" w14:textId="5707B8D2" w:rsidTr="00807A36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752" w14:textId="54A9464B" w:rsidR="00E725F3" w:rsidRPr="00F033C8" w:rsidRDefault="00E725F3" w:rsidP="0077336B">
            <w:pPr>
              <w:rPr>
                <w:rFonts w:cs="Arial"/>
              </w:rPr>
            </w:pPr>
            <w:r>
              <w:rPr>
                <w:rFonts w:cs="Arial"/>
              </w:rPr>
              <w:t>Okraje matrace vyztuženy studenou PUR pěnou o vyšší tuhosti, tj. hustota min. 5 kg/m³, odpor proti stlačení</w:t>
            </w:r>
            <w:r w:rsidR="00EB582D">
              <w:rPr>
                <w:rFonts w:cs="Arial"/>
              </w:rPr>
              <w:t xml:space="preserve"> min. 3,9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kPa</w:t>
            </w:r>
            <w:proofErr w:type="spellEnd"/>
            <w:r>
              <w:rPr>
                <w:rFonts w:cs="Arial"/>
              </w:rPr>
              <w:t>/m²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1AC84D" w14:textId="77777777" w:rsidR="00E725F3" w:rsidRPr="00241E4F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2FEB4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A403B" w14:textId="77777777" w:rsidR="00E725F3" w:rsidRDefault="00E725F3" w:rsidP="0077336B">
            <w:pPr>
              <w:jc w:val="center"/>
            </w:pPr>
          </w:p>
        </w:tc>
      </w:tr>
      <w:tr w:rsidR="00E725F3" w14:paraId="6F18D487" w14:textId="618EFF82" w:rsidTr="00E725F3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232F" w14:textId="77777777" w:rsidR="00E725F3" w:rsidRPr="00F033C8" w:rsidRDefault="00E725F3" w:rsidP="0077336B">
            <w:pPr>
              <w:rPr>
                <w:rFonts w:cs="Arial"/>
              </w:rPr>
            </w:pPr>
            <w:r>
              <w:rPr>
                <w:rFonts w:cs="Arial"/>
              </w:rPr>
              <w:t xml:space="preserve">Potah pružný, voděodolný, </w:t>
            </w:r>
            <w:proofErr w:type="spellStart"/>
            <w:r>
              <w:rPr>
                <w:rFonts w:cs="Arial"/>
              </w:rPr>
              <w:t>paropropustný</w:t>
            </w:r>
            <w:proofErr w:type="spellEnd"/>
            <w:r>
              <w:rPr>
                <w:rFonts w:cs="Arial"/>
              </w:rPr>
              <w:t xml:space="preserve">, bakteriostatický, omyvatelný, spoje potahu zajištěny proti průsaku nečistoty do jádra, pratelný na 95°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E69F0" w14:textId="77777777" w:rsidR="00E725F3" w:rsidRPr="00241E4F" w:rsidRDefault="00E725F3" w:rsidP="0077336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2E7F2" w14:textId="77777777" w:rsidR="00E725F3" w:rsidRDefault="00E725F3" w:rsidP="0077336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D0388" w14:textId="77777777" w:rsidR="00E725F3" w:rsidRDefault="00E725F3" w:rsidP="0077336B">
            <w:pPr>
              <w:jc w:val="center"/>
            </w:pPr>
          </w:p>
        </w:tc>
      </w:tr>
    </w:tbl>
    <w:p w14:paraId="1C074F63" w14:textId="0410ACE7" w:rsidR="00EB7231" w:rsidRPr="00781A6A" w:rsidRDefault="00EB7231" w:rsidP="00781A6A">
      <w:pPr>
        <w:jc w:val="both"/>
        <w:rPr>
          <w:i/>
        </w:rPr>
      </w:pPr>
      <w:r w:rsidRPr="00B47083">
        <w:rPr>
          <w:rFonts w:cs="Arial"/>
          <w:b/>
          <w:bCs/>
          <w:color w:val="FF0000"/>
        </w:rPr>
        <w:t>*</w:t>
      </w:r>
      <w:r w:rsidRPr="00066454">
        <w:rPr>
          <w:i/>
        </w:rPr>
        <w:t xml:space="preserve"> </w:t>
      </w:r>
      <w:bookmarkStart w:id="2" w:name="_Hlk138338568"/>
      <w:r w:rsidR="00B47083" w:rsidRPr="00B47083">
        <w:rPr>
          <w:i/>
          <w:sz w:val="18"/>
          <w:szCs w:val="18"/>
        </w:rPr>
        <w:t>Ve vztahu k odkazované normě a požadavkům v ní uvedeným zadavatel v souladu s </w:t>
      </w:r>
      <w:proofErr w:type="spellStart"/>
      <w:r w:rsidR="00B47083" w:rsidRPr="00B47083">
        <w:rPr>
          <w:i/>
          <w:sz w:val="18"/>
          <w:szCs w:val="18"/>
        </w:rPr>
        <w:t>ust</w:t>
      </w:r>
      <w:proofErr w:type="spellEnd"/>
      <w:r w:rsidR="00B47083" w:rsidRPr="00B47083">
        <w:rPr>
          <w:i/>
          <w:sz w:val="18"/>
          <w:szCs w:val="18"/>
        </w:rPr>
        <w:t>. § 89 odst. 3 zákona č. 134/2016 Sb., o zadávání veřejných zakázek, ve znění pozdějších předpisů, poskytuje možnost nabídnout rovnocenné řešení; v případě, že dodavatel této zákonem dané možnosti využije, je povinen v nabídce předložit podrobný popis nabízeného přístroje, ze kterého bude rovnocennost nabízeného řešení s uvedenou normou jednoznačně zřejmá.</w:t>
      </w:r>
      <w:r w:rsidR="00B47083">
        <w:rPr>
          <w:i/>
        </w:rPr>
        <w:t xml:space="preserve"> </w:t>
      </w:r>
      <w:bookmarkEnd w:id="2"/>
    </w:p>
    <w:p w14:paraId="3E57F717" w14:textId="4FAF1176" w:rsidR="00D84E70" w:rsidRDefault="00D84E70" w:rsidP="00344E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1330D" w14:textId="77777777" w:rsidR="003E0D4A" w:rsidRPr="005237DA" w:rsidRDefault="003E0D4A" w:rsidP="003E0D4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1485"/>
        <w:gridCol w:w="1134"/>
        <w:gridCol w:w="1559"/>
        <w:gridCol w:w="2127"/>
      </w:tblGrid>
      <w:tr w:rsidR="00E725F3" w14:paraId="5D8D4FC6" w14:textId="0CDB477B" w:rsidTr="001E784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FED7" w14:textId="56BC8A1F" w:rsidR="00E725F3" w:rsidRPr="0099335A" w:rsidRDefault="00E725F3" w:rsidP="00654C6A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Aktivní antidekubitní systém pro nejvyšší riziko vzniku dekubitů</w:t>
            </w:r>
          </w:p>
        </w:tc>
      </w:tr>
      <w:tr w:rsidR="00E725F3" w14:paraId="22352901" w14:textId="0BAA710D" w:rsidTr="0064701C">
        <w:trPr>
          <w:trHeight w:hRule="exact" w:val="396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345A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BFA544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7F010016" w14:textId="6733D540" w:rsidTr="00F835C7">
        <w:trPr>
          <w:trHeight w:hRule="exact" w:val="43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C37C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88F741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18BFC53C" w14:textId="03824DE3" w:rsidTr="00E725F3">
        <w:trPr>
          <w:trHeight w:hRule="exact" w:val="61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4885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F2A5B4" w14:textId="77777777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46CB3D9F" w14:textId="4FCBB29F" w:rsidTr="00AB1BC8">
        <w:trPr>
          <w:trHeight w:hRule="exact" w:val="129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426D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0F4C" w14:textId="603549B1" w:rsidR="00C06F00" w:rsidRDefault="00E725F3" w:rsidP="00C06F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ks </w:t>
            </w:r>
          </w:p>
          <w:p w14:paraId="54905B7F" w14:textId="127487D6" w:rsidR="00E725F3" w:rsidRDefault="00E725F3" w:rsidP="00654C6A">
            <w:pPr>
              <w:rPr>
                <w:b/>
                <w:bCs/>
              </w:rPr>
            </w:pPr>
          </w:p>
        </w:tc>
      </w:tr>
      <w:tr w:rsidR="00E725F3" w14:paraId="39ED4E32" w14:textId="4112F9E4" w:rsidTr="00C231FD">
        <w:trPr>
          <w:trHeight w:hRule="exact" w:val="419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E163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09891B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0300FC83" w14:textId="58DD8C27" w:rsidTr="009063CD">
        <w:trPr>
          <w:trHeight w:hRule="exact" w:val="593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998C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celkem za počet kusů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56889D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39FF857A" w14:textId="00C3BDB7" w:rsidTr="00CC569D">
        <w:trPr>
          <w:trHeight w:hRule="exact" w:val="43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E243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51BE50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5A122A7E" w14:textId="0AFF030B" w:rsidTr="00202E5A">
        <w:trPr>
          <w:trHeight w:hRule="exact" w:val="410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647A" w14:textId="77777777" w:rsidR="00E725F3" w:rsidRPr="0099335A" w:rsidRDefault="00E725F3" w:rsidP="00654C6A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lastRenderedPageBreak/>
              <w:t>Cena v Kč včetně DPH celkem</w:t>
            </w:r>
          </w:p>
        </w:tc>
        <w:tc>
          <w:tcPr>
            <w:tcW w:w="6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24854D" w14:textId="77777777" w:rsidR="00E725F3" w:rsidRPr="005237DA" w:rsidRDefault="00E725F3" w:rsidP="00654C6A">
            <w:pPr>
              <w:jc w:val="right"/>
              <w:rPr>
                <w:b/>
                <w:bCs/>
              </w:rPr>
            </w:pPr>
          </w:p>
        </w:tc>
      </w:tr>
      <w:tr w:rsidR="00E725F3" w14:paraId="2735CDB8" w14:textId="381ABFAD" w:rsidTr="005A4957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5382E7B" w14:textId="40707CDE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Základní vlastnosti</w:t>
            </w:r>
          </w:p>
        </w:tc>
      </w:tr>
      <w:tr w:rsidR="00E725F3" w14:paraId="31B06344" w14:textId="075C0E56" w:rsidTr="00C72B9B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6C55C92D" w14:textId="77777777" w:rsidR="00E725F3" w:rsidRPr="00BA3336" w:rsidRDefault="00E725F3" w:rsidP="00654C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213B93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39B51BD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73F8FA8A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9EB136" w14:textId="55F0B2E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E725F3" w14:paraId="581C3C3C" w14:textId="700158C1" w:rsidTr="0005047B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30B0" w14:textId="25475C0E" w:rsidR="00E725F3" w:rsidRPr="0099335A" w:rsidRDefault="00E725F3" w:rsidP="003E0D4A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Pro nejvyšší riziko dekubitů a podporu léčby již vzniklých dekubitů až IV. stupně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061C87F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2559403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EB6D2EE" w14:textId="77777777" w:rsidR="00E725F3" w:rsidRDefault="00E725F3" w:rsidP="00654C6A">
            <w:pPr>
              <w:jc w:val="center"/>
            </w:pPr>
          </w:p>
        </w:tc>
      </w:tr>
      <w:tr w:rsidR="00E725F3" w14:paraId="79113093" w14:textId="46C6E72D" w:rsidTr="00A23032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8269" w14:textId="06D66C98" w:rsidR="00E725F3" w:rsidRPr="0099335A" w:rsidRDefault="00E725F3" w:rsidP="003E0D4A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 xml:space="preserve">Šetrný a účinný dynamický systém zajišťující dostatečnou podporu pro pacienta – systém střídání tlaku v celách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8B0FF56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40768F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79F86C8" w14:textId="77777777" w:rsidR="00E725F3" w:rsidRDefault="00E725F3" w:rsidP="00654C6A">
            <w:pPr>
              <w:jc w:val="center"/>
            </w:pPr>
          </w:p>
        </w:tc>
      </w:tr>
      <w:tr w:rsidR="00E725F3" w14:paraId="43668BF2" w14:textId="1E0293E7" w:rsidTr="009163D0">
        <w:trPr>
          <w:trHeight w:val="502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2EAE2" w14:textId="45051B69" w:rsidR="00E725F3" w:rsidRPr="0099335A" w:rsidRDefault="00E725F3" w:rsidP="003E0D4A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Kompresorem řízené aktivní provzdušnění jádra matrace pro odvedení přebytečného tepla a vlhkosti od těla pacienta (min. 20</w:t>
            </w:r>
            <w:r>
              <w:rPr>
                <w:rFonts w:cs="Arial"/>
                <w:szCs w:val="20"/>
              </w:rPr>
              <w:t xml:space="preserve"> </w:t>
            </w:r>
            <w:r w:rsidRPr="0099335A">
              <w:rPr>
                <w:rFonts w:cs="Arial"/>
                <w:szCs w:val="20"/>
              </w:rPr>
              <w:t>l/hod.)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179A57D" w14:textId="77777777" w:rsidR="00E725F3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CE6788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0D850" w14:textId="77777777" w:rsidR="00E725F3" w:rsidRDefault="00E725F3" w:rsidP="00654C6A">
            <w:pPr>
              <w:jc w:val="center"/>
            </w:pPr>
          </w:p>
        </w:tc>
      </w:tr>
      <w:tr w:rsidR="00E725F3" w14:paraId="539A936B" w14:textId="29A75546" w:rsidTr="00795197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F7EB9" w14:textId="7CB27793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Možnost samostatně ovládat/vypustit cely pod hlavou pro pronační polohu pacienta, apod.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14:paraId="50CD33F5" w14:textId="77777777" w:rsidR="00E725F3" w:rsidRPr="002E2597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4F130C" w14:textId="77777777" w:rsidR="00E725F3" w:rsidRDefault="00E725F3" w:rsidP="00654C6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7F1A9A" w14:textId="77777777" w:rsidR="00E725F3" w:rsidRDefault="00E725F3" w:rsidP="00654C6A"/>
        </w:tc>
      </w:tr>
      <w:tr w:rsidR="00E725F3" w14:paraId="11C254FA" w14:textId="0E2C33F4" w:rsidTr="005571E2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D532596" w14:textId="5F03160D" w:rsidR="00E725F3" w:rsidRPr="0099335A" w:rsidRDefault="00E725F3" w:rsidP="00654C6A">
            <w:pPr>
              <w:jc w:val="both"/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Možnost samostatně ovládat/vypustit cely pod patami pro zvýšenou ochranu pat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69D5AA5B" w14:textId="77777777" w:rsidR="00E725F3" w:rsidRPr="002E2597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F54E1C" w14:textId="77777777" w:rsidR="00E725F3" w:rsidRDefault="00E725F3" w:rsidP="00654C6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50D1DF59" w14:textId="77777777" w:rsidR="00E725F3" w:rsidRDefault="00E725F3" w:rsidP="00654C6A"/>
        </w:tc>
      </w:tr>
      <w:tr w:rsidR="00E725F3" w14:paraId="39D36C10" w14:textId="1E722CA8" w:rsidTr="00711BD5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F42" w14:textId="48E477B7" w:rsidR="00E725F3" w:rsidRPr="0099335A" w:rsidRDefault="00E725F3" w:rsidP="003E0D4A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Režimy minimálně: dynamický (terapeutický), statický (pro vyšetření, zavádění kat</w:t>
            </w:r>
            <w:r>
              <w:rPr>
                <w:rFonts w:cs="Arial"/>
                <w:szCs w:val="20"/>
              </w:rPr>
              <w:t>et</w:t>
            </w:r>
            <w:r w:rsidRPr="0099335A">
              <w:rPr>
                <w:rFonts w:cs="Arial"/>
                <w:szCs w:val="20"/>
              </w:rPr>
              <w:t>rů, apod.) s bezpečnostním automatickým nebo manuálním návratem do dynamického režimu, režim konstantního nízkého tlaku (při kontraindikaci dynamického režimu, před přesunem na pasivní matraci, apod.)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5FA61" w14:textId="77777777" w:rsidR="00E725F3" w:rsidRPr="00241E4F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0325F1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27DBE9" w14:textId="77777777" w:rsidR="00E725F3" w:rsidRDefault="00E725F3" w:rsidP="00654C6A">
            <w:pPr>
              <w:jc w:val="center"/>
            </w:pPr>
          </w:p>
        </w:tc>
      </w:tr>
      <w:tr w:rsidR="00E725F3" w14:paraId="36D4ABEE" w14:textId="1D2C39EF" w:rsidTr="00C3349D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C08" w14:textId="22D3E18D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Senzor pro automatické zvýšení tlaku v hýžďové části při posazení pacienta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E3BFA3" w14:textId="77777777" w:rsidR="00E725F3" w:rsidRPr="00241E4F" w:rsidRDefault="00E725F3" w:rsidP="00654C6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3BBD29" w14:textId="77777777" w:rsidR="00E725F3" w:rsidRDefault="00E725F3" w:rsidP="00654C6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B759D2" w14:textId="77777777" w:rsidR="00E725F3" w:rsidRDefault="00E725F3" w:rsidP="00654C6A">
            <w:pPr>
              <w:jc w:val="center"/>
            </w:pPr>
          </w:p>
        </w:tc>
      </w:tr>
      <w:tr w:rsidR="00E725F3" w14:paraId="5F8FF0D0" w14:textId="48FD9884" w:rsidTr="00B75B17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55C" w14:textId="428D7D37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Možnost transportu pacienta bez kompresoru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04EDA0" w14:textId="77777777" w:rsidR="00E725F3" w:rsidRPr="007C379F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1CFFD8" w14:textId="77777777" w:rsidR="00E725F3" w:rsidRPr="00BB770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D0E7E1" w14:textId="77777777" w:rsidR="00E725F3" w:rsidRPr="00BB7702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43EF034A" w14:textId="405C7A1B" w:rsidTr="00237BF4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785" w14:textId="6B10A84E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Uspořádání cel matrace zamezujících zapadání pacienta mezi cely při polohování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FD2656" w14:textId="77777777" w:rsidR="00E725F3" w:rsidRPr="00C4354B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B49618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C52FB5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44E9DB85" w14:textId="45C3FAAF" w:rsidTr="00DA058F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8B1" w14:textId="172012CA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Uspořádání cel alespoň ve třech zónách (hlava, tělo, paty) s různou strukturou a velikostí cel v jednotlivých zónách pro optimální rozložení tlaku na tělo pacienta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7162F9" w14:textId="77777777" w:rsidR="00E725F3" w:rsidRPr="00C4354B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EEDEE5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74F3CE" w14:textId="77777777" w:rsidR="00E725F3" w:rsidRPr="00925E92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1954A78E" w14:textId="43B9CC59" w:rsidTr="00537112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5CB7" w14:textId="53FB3976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Dvě vrstvy na sobě nezávislých cel s oddělenými okruhy (systém cela na/v cele) pro dosažení nulového tlaku na tkáň pacienta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A6D709" w14:textId="77777777" w:rsidR="00E725F3" w:rsidRPr="00670F14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94462A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E15A1C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14:paraId="75BCB87A" w14:textId="654AAD9A" w:rsidTr="00EF4FA2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CA6" w14:textId="1E10876C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Nejkratší perioda dynamického režimu maximálně 10 minut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BC2A71" w14:textId="77777777" w:rsidR="00E725F3" w:rsidRPr="00670F14" w:rsidRDefault="00E725F3" w:rsidP="00654C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B520EC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F2C715" w14:textId="77777777" w:rsidR="00E725F3" w:rsidRPr="00E059EA" w:rsidRDefault="00E725F3" w:rsidP="00654C6A">
            <w:pPr>
              <w:jc w:val="center"/>
              <w:rPr>
                <w:color w:val="FF0000"/>
              </w:rPr>
            </w:pPr>
          </w:p>
        </w:tc>
      </w:tr>
      <w:tr w:rsidR="00E725F3" w:rsidRPr="00BA3336" w14:paraId="09EF5621" w14:textId="08CC5E2E" w:rsidTr="00F87C8F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ADBE" w14:textId="7DDACD66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Rychlé vypuštění pro KPR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E253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5BA77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5AD68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081FDB62" w14:textId="431A2614" w:rsidTr="00DF54E9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949" w14:textId="3DA2AF4B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Systém ochrany před nežádoucí manipulací a chybným nastavením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4999E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31315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3A90D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1295C3F3" w14:textId="21E9451F" w:rsidTr="00F82577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146" w14:textId="6DCFC26A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Nosnost min. 230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A41DF0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D3C0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0D713C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6F102504" w14:textId="57BDBC66" w:rsidTr="001D77F8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4A1" w14:textId="5F49EE0C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Alarm v případě výpadku napájení a špatné funkčnosti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31BD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EE6FC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1785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646EA619" w14:textId="5EA24891" w:rsidTr="003A0DCF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E75" w14:textId="6B28CCD5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 xml:space="preserve">Potah snadno snímatelný – zip dokola 360°, </w:t>
            </w:r>
            <w:proofErr w:type="spellStart"/>
            <w:r w:rsidRPr="0099335A">
              <w:rPr>
                <w:rFonts w:cs="Arial"/>
                <w:szCs w:val="20"/>
              </w:rPr>
              <w:t>paropropustný</w:t>
            </w:r>
            <w:proofErr w:type="spellEnd"/>
            <w:r w:rsidRPr="0099335A">
              <w:rPr>
                <w:rFonts w:cs="Arial"/>
                <w:szCs w:val="20"/>
              </w:rPr>
              <w:t>, voděodolný, s ochranou před znečištěním jádra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7BE66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4188D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6CDE7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05B18173" w14:textId="6FD5C79E" w:rsidTr="00CE5C40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890F" w14:textId="18B4D531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lastRenderedPageBreak/>
              <w:t>Úchyty na boku matrace pro bezpečné vedení napájecího kabelu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F2DF56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ECCBF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7FB25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4F934003" w14:textId="054AB94D" w:rsidTr="00D534FD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672" w14:textId="664C83FB" w:rsidR="00E725F3" w:rsidRPr="0099335A" w:rsidRDefault="00E725F3" w:rsidP="00B434AF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 xml:space="preserve">Funkčně a rozměrově plně kompatibilní s nabízenými lůžky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D22B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8D1BD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36005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725F3" w:rsidRPr="00BA3336" w14:paraId="50E594EC" w14:textId="62775743" w:rsidTr="001B25AC">
        <w:trPr>
          <w:trHeight w:val="56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A39" w14:textId="0728BAE9" w:rsidR="00E725F3" w:rsidRPr="0099335A" w:rsidRDefault="00E725F3" w:rsidP="00654C6A">
            <w:pPr>
              <w:rPr>
                <w:rFonts w:cs="Arial"/>
                <w:szCs w:val="20"/>
              </w:rPr>
            </w:pPr>
            <w:r w:rsidRPr="0099335A">
              <w:rPr>
                <w:rFonts w:cs="Arial"/>
                <w:szCs w:val="20"/>
              </w:rPr>
              <w:t>Výška max. 23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AECBF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D2B137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5B8F11" w14:textId="77777777" w:rsidR="00E725F3" w:rsidRPr="00BA3336" w:rsidRDefault="00E725F3" w:rsidP="00654C6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968F1A1" w14:textId="68146159" w:rsidR="003E0D4A" w:rsidRDefault="003E0D4A" w:rsidP="003E0D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E77DE1" w14:textId="77777777" w:rsidR="009E6B2B" w:rsidRDefault="009E6B2B" w:rsidP="003E0D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9E6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63D6" w14:textId="77777777" w:rsidR="002E72F3" w:rsidRDefault="002E72F3" w:rsidP="00344E00">
      <w:r>
        <w:separator/>
      </w:r>
    </w:p>
  </w:endnote>
  <w:endnote w:type="continuationSeparator" w:id="0">
    <w:p w14:paraId="4B8D1363" w14:textId="77777777" w:rsidR="002E72F3" w:rsidRDefault="002E72F3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0C16" w14:textId="77777777" w:rsidR="002E72F3" w:rsidRDefault="002E72F3" w:rsidP="00344E00">
      <w:r>
        <w:separator/>
      </w:r>
    </w:p>
  </w:footnote>
  <w:footnote w:type="continuationSeparator" w:id="0">
    <w:p w14:paraId="30D11FBE" w14:textId="77777777" w:rsidR="002E72F3" w:rsidRDefault="002E72F3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3"/>
  </w:num>
  <w:num w:numId="5" w16cid:durableId="48328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3552"/>
    <w:rsid w:val="0008663B"/>
    <w:rsid w:val="000962DD"/>
    <w:rsid w:val="000A416C"/>
    <w:rsid w:val="000B2444"/>
    <w:rsid w:val="000E177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97A7F"/>
    <w:rsid w:val="005B4C90"/>
    <w:rsid w:val="005C49CA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3071C"/>
    <w:rsid w:val="00937608"/>
    <w:rsid w:val="00952276"/>
    <w:rsid w:val="00955DA3"/>
    <w:rsid w:val="009573B3"/>
    <w:rsid w:val="00961FB1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6F00"/>
    <w:rsid w:val="00C17FF2"/>
    <w:rsid w:val="00C21CCB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6E71"/>
    <w:rsid w:val="00E725F3"/>
    <w:rsid w:val="00EA1070"/>
    <w:rsid w:val="00EA449C"/>
    <w:rsid w:val="00EB582D"/>
    <w:rsid w:val="00EB7231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1496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4</cp:revision>
  <dcterms:created xsi:type="dcterms:W3CDTF">2026-02-05T07:58:00Z</dcterms:created>
  <dcterms:modified xsi:type="dcterms:W3CDTF">2026-02-05T09:11:00Z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