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870"/>
        <w:gridCol w:w="1532"/>
        <w:gridCol w:w="2202"/>
      </w:tblGrid>
      <w:tr w:rsidR="0035702A" w:rsidRPr="00DC61A3" w14:paraId="02BEDE38" w14:textId="77777777" w:rsidTr="00BC52FC">
        <w:trPr>
          <w:trHeight w:val="1633"/>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652813AB" w:rsidR="0035702A" w:rsidRPr="00DC61A3" w:rsidRDefault="0076159F" w:rsidP="00257B52">
            <w:pPr>
              <w:rPr>
                <w:sz w:val="20"/>
                <w:szCs w:val="20"/>
              </w:rPr>
            </w:pPr>
            <w:r w:rsidRPr="0037685B">
              <w:rPr>
                <w:b/>
                <w:sz w:val="22"/>
                <w:szCs w:val="20"/>
              </w:rPr>
              <w:t>Název veřejné zakázky</w:t>
            </w:r>
            <w:r w:rsidRPr="0037685B">
              <w:rPr>
                <w:sz w:val="22"/>
                <w:szCs w:val="20"/>
              </w:rPr>
              <w:t xml:space="preserve"> </w:t>
            </w:r>
            <w:r w:rsidRPr="0037685B">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66A2CB" w14:textId="77777777" w:rsidR="00D80C8C" w:rsidRPr="00E70990" w:rsidRDefault="00D80C8C" w:rsidP="00D80C8C">
            <w:pPr>
              <w:jc w:val="both"/>
              <w:rPr>
                <w:rFonts w:eastAsiaTheme="majorEastAsia" w:cstheme="majorBidi"/>
                <w:b/>
                <w:color w:val="0070C0"/>
                <w:sz w:val="28"/>
                <w:szCs w:val="28"/>
              </w:rPr>
            </w:pPr>
          </w:p>
          <w:p w14:paraId="120EFA89" w14:textId="3A9DE0C4" w:rsidR="0035702A" w:rsidRPr="00E70990" w:rsidRDefault="00E70990" w:rsidP="00BC52FC">
            <w:pPr>
              <w:jc w:val="center"/>
              <w:rPr>
                <w:rFonts w:eastAsiaTheme="majorEastAsia" w:cstheme="majorBidi"/>
                <w:b/>
                <w:color w:val="0070C0"/>
                <w:sz w:val="28"/>
                <w:szCs w:val="28"/>
              </w:rPr>
            </w:pPr>
            <w:r w:rsidRPr="00E70990">
              <w:rPr>
                <w:rFonts w:eastAsiaTheme="majorEastAsia" w:cstheme="majorBidi"/>
                <w:b/>
                <w:color w:val="0070C0"/>
                <w:sz w:val="28"/>
                <w:szCs w:val="28"/>
              </w:rPr>
              <w:t>„</w:t>
            </w:r>
            <w:r w:rsidR="00FE5B75" w:rsidRPr="00FE5B75">
              <w:rPr>
                <w:rFonts w:eastAsiaTheme="majorEastAsia" w:cstheme="majorBidi"/>
                <w:b/>
                <w:color w:val="0070C0"/>
                <w:sz w:val="28"/>
                <w:szCs w:val="28"/>
              </w:rPr>
              <w:t>Dopravní řešení dolního areálu Oblastní nemocnice Náchod</w:t>
            </w:r>
            <w:r w:rsidR="00CF2A75">
              <w:rPr>
                <w:rFonts w:eastAsiaTheme="majorEastAsia" w:cstheme="majorBidi"/>
                <w:b/>
                <w:color w:val="0070C0"/>
                <w:sz w:val="28"/>
                <w:szCs w:val="28"/>
              </w:rPr>
              <w:t xml:space="preserve"> a. s.</w:t>
            </w:r>
            <w:r w:rsidR="00EE145C" w:rsidRPr="00E70990">
              <w:rPr>
                <w:rFonts w:eastAsiaTheme="majorEastAsia" w:cstheme="majorBidi"/>
                <w:b/>
                <w:color w:val="0070C0"/>
                <w:sz w:val="28"/>
                <w:szCs w:val="28"/>
              </w:rPr>
              <w:t>“</w:t>
            </w:r>
          </w:p>
          <w:p w14:paraId="2722F287" w14:textId="2B7C57DA" w:rsidR="00BC52FC" w:rsidRPr="00E70990" w:rsidRDefault="00BC52FC" w:rsidP="00BC52FC">
            <w:pPr>
              <w:jc w:val="center"/>
              <w:rPr>
                <w:rFonts w:eastAsiaTheme="majorEastAsia" w:cstheme="majorBidi"/>
                <w:b/>
                <w:color w:val="0070C0"/>
                <w:sz w:val="28"/>
                <w:szCs w:val="28"/>
              </w:rPr>
            </w:pPr>
          </w:p>
        </w:tc>
      </w:tr>
      <w:tr w:rsidR="006D38A0" w:rsidRPr="0098338E" w14:paraId="2956449D" w14:textId="77777777" w:rsidTr="0098338E">
        <w:trPr>
          <w:trHeight w:val="409"/>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98338E" w:rsidRDefault="006D38A0" w:rsidP="0098338E">
            <w:pPr>
              <w:spacing w:line="276" w:lineRule="auto"/>
              <w:jc w:val="center"/>
              <w:rPr>
                <w:b/>
              </w:rPr>
            </w:pPr>
            <w:r w:rsidRPr="0098338E">
              <w:rPr>
                <w:b/>
              </w:rPr>
              <w:t>Zadavatel</w:t>
            </w:r>
          </w:p>
        </w:tc>
      </w:tr>
      <w:tr w:rsidR="007C37A3"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98338E" w14:paraId="1248AED9" w14:textId="77777777" w:rsidTr="0098338E">
        <w:trPr>
          <w:trHeight w:hRule="exact" w:val="454"/>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77777777" w:rsidR="001C0397" w:rsidRPr="0098338E" w:rsidRDefault="00E874D0" w:rsidP="0098338E">
            <w:pPr>
              <w:spacing w:line="276" w:lineRule="auto"/>
              <w:jc w:val="center"/>
              <w:rPr>
                <w:b/>
              </w:rPr>
            </w:pPr>
            <w:r w:rsidRPr="0098338E">
              <w:rPr>
                <w:b/>
              </w:rPr>
              <w:t>Účastník</w:t>
            </w:r>
          </w:p>
          <w:p w14:paraId="1BEDF124" w14:textId="77777777" w:rsidR="0091685E" w:rsidRPr="0098338E" w:rsidRDefault="0091685E" w:rsidP="0098338E">
            <w:pPr>
              <w:spacing w:line="276" w:lineRule="auto"/>
              <w:jc w:val="center"/>
              <w:rPr>
                <w:b/>
              </w:rPr>
            </w:pP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98338E" w:rsidRPr="00FC24D3" w14:paraId="3F30A73F" w14:textId="77777777" w:rsidTr="0098338E">
        <w:trPr>
          <w:trHeight w:val="393"/>
        </w:trPr>
        <w:tc>
          <w:tcPr>
            <w:tcW w:w="9001" w:type="dxa"/>
            <w:gridSpan w:val="4"/>
            <w:tcBorders>
              <w:top w:val="single" w:sz="4" w:space="0" w:color="auto"/>
              <w:left w:val="single" w:sz="4" w:space="0" w:color="auto"/>
              <w:bottom w:val="single" w:sz="4" w:space="0" w:color="auto"/>
              <w:right w:val="single" w:sz="4" w:space="0" w:color="auto"/>
            </w:tcBorders>
            <w:vAlign w:val="center"/>
          </w:tcPr>
          <w:p w14:paraId="61F9975D" w14:textId="77777777" w:rsidR="0098338E" w:rsidRPr="0070676C" w:rsidRDefault="0098338E" w:rsidP="00CD436A">
            <w:pPr>
              <w:spacing w:line="276" w:lineRule="auto"/>
              <w:jc w:val="center"/>
              <w:rPr>
                <w:b/>
              </w:rPr>
            </w:pPr>
            <w:r>
              <w:rPr>
                <w:b/>
              </w:rPr>
              <w:t>N</w:t>
            </w:r>
            <w:r w:rsidRPr="0070676C">
              <w:rPr>
                <w:b/>
              </w:rPr>
              <w:t xml:space="preserve">abídková cena </w:t>
            </w:r>
            <w:r>
              <w:rPr>
                <w:b/>
              </w:rPr>
              <w:t>celkem</w:t>
            </w:r>
          </w:p>
        </w:tc>
      </w:tr>
      <w:tr w:rsidR="0098338E" w:rsidRPr="00FC24D3" w14:paraId="384B6147" w14:textId="77777777" w:rsidTr="00CD436A">
        <w:trPr>
          <w:trHeight w:hRule="exact" w:val="454"/>
        </w:trPr>
        <w:tc>
          <w:tcPr>
            <w:tcW w:w="3397" w:type="dxa"/>
            <w:vMerge w:val="restart"/>
            <w:tcBorders>
              <w:left w:val="single" w:sz="4" w:space="0" w:color="auto"/>
              <w:right w:val="single" w:sz="4" w:space="0" w:color="auto"/>
            </w:tcBorders>
            <w:shd w:val="clear" w:color="auto" w:fill="B8CCE4" w:themeFill="accent1" w:themeFillTint="66"/>
            <w:vAlign w:val="center"/>
          </w:tcPr>
          <w:p w14:paraId="488CFB45" w14:textId="77777777" w:rsidR="0098338E" w:rsidRDefault="0098338E" w:rsidP="00CD436A">
            <w:pPr>
              <w:spacing w:line="276" w:lineRule="auto"/>
              <w:rPr>
                <w:b/>
                <w:sz w:val="20"/>
                <w:szCs w:val="20"/>
              </w:rPr>
            </w:pPr>
            <w:bookmarkStart w:id="0" w:name="_Hlk215218374"/>
            <w:r>
              <w:rPr>
                <w:b/>
                <w:sz w:val="20"/>
                <w:szCs w:val="20"/>
              </w:rPr>
              <w:t xml:space="preserve">Celková nabídková cena </w:t>
            </w:r>
          </w:p>
          <w:p w14:paraId="704472E9" w14:textId="77777777" w:rsidR="0098338E" w:rsidRDefault="0098338E" w:rsidP="00CD436A">
            <w:pPr>
              <w:rPr>
                <w:b/>
                <w:sz w:val="20"/>
                <w:szCs w:val="20"/>
              </w:rPr>
            </w:pPr>
            <w:r>
              <w:rPr>
                <w:b/>
                <w:sz w:val="20"/>
                <w:szCs w:val="20"/>
              </w:rPr>
              <w:t>Dopravní řešení dolního areálu ONN</w:t>
            </w:r>
          </w:p>
          <w:p w14:paraId="099328E5" w14:textId="7198EC3E" w:rsidR="00FB7B59" w:rsidRPr="00FB7B59" w:rsidRDefault="00FB7B59" w:rsidP="00CD436A">
            <w:pPr>
              <w:rPr>
                <w:bCs/>
                <w:i/>
                <w:iCs/>
                <w:sz w:val="20"/>
                <w:szCs w:val="20"/>
              </w:rPr>
            </w:pPr>
            <w:r w:rsidRPr="00FB7B59">
              <w:rPr>
                <w:bCs/>
                <w:i/>
                <w:iCs/>
                <w:sz w:val="20"/>
                <w:szCs w:val="20"/>
              </w:rPr>
              <w:t>/viz. Příloha č. 2.1. ZD/</w:t>
            </w:r>
          </w:p>
          <w:p w14:paraId="639068AC" w14:textId="0EEA199B" w:rsidR="0098338E" w:rsidRPr="00FC24D3" w:rsidRDefault="0098338E" w:rsidP="00CD436A">
            <w:pPr>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0C69D3" w14:textId="77777777" w:rsidR="0098338E" w:rsidRPr="00684815" w:rsidRDefault="0098338E" w:rsidP="00CD436A">
            <w:pPr>
              <w:jc w:val="center"/>
              <w:rPr>
                <w:sz w:val="20"/>
                <w:szCs w:val="20"/>
              </w:rPr>
            </w:pPr>
            <w:r w:rsidRPr="00684815">
              <w:rPr>
                <w:b/>
                <w:sz w:val="20"/>
                <w:szCs w:val="20"/>
              </w:rPr>
              <w:t xml:space="preserve">Cena v Kč bez DPH </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44873E" w14:textId="77777777" w:rsidR="0098338E" w:rsidRPr="00684815" w:rsidRDefault="0098338E" w:rsidP="00CD436A">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0502DC" w14:textId="77777777" w:rsidR="0098338E" w:rsidRPr="00684815" w:rsidRDefault="0098338E" w:rsidP="00CD436A">
            <w:pPr>
              <w:jc w:val="center"/>
              <w:rPr>
                <w:b/>
                <w:bCs/>
                <w:sz w:val="20"/>
                <w:szCs w:val="20"/>
              </w:rPr>
            </w:pPr>
            <w:r w:rsidRPr="00684815">
              <w:rPr>
                <w:b/>
                <w:sz w:val="20"/>
                <w:szCs w:val="20"/>
              </w:rPr>
              <w:t>Cena v Kč včetně DPH</w:t>
            </w:r>
          </w:p>
        </w:tc>
      </w:tr>
      <w:tr w:rsidR="0098338E" w:rsidRPr="00FC24D3" w14:paraId="15974BAE" w14:textId="77777777" w:rsidTr="00CD436A">
        <w:trPr>
          <w:trHeight w:hRule="exact" w:val="454"/>
        </w:trPr>
        <w:tc>
          <w:tcPr>
            <w:tcW w:w="3397" w:type="dxa"/>
            <w:vMerge/>
            <w:tcBorders>
              <w:left w:val="single" w:sz="4" w:space="0" w:color="auto"/>
              <w:right w:val="single" w:sz="4" w:space="0" w:color="auto"/>
            </w:tcBorders>
            <w:shd w:val="clear" w:color="auto" w:fill="B8CCE4" w:themeFill="accent1" w:themeFillTint="66"/>
            <w:vAlign w:val="center"/>
          </w:tcPr>
          <w:p w14:paraId="3EDFB2D7" w14:textId="77777777" w:rsidR="0098338E" w:rsidRDefault="0098338E" w:rsidP="00CD436A">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26DCC370" w14:textId="77777777" w:rsidR="0098338E" w:rsidRPr="00684815" w:rsidRDefault="0098338E" w:rsidP="00CD436A">
            <w:pPr>
              <w:jc w:val="center"/>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7E4277A6" w14:textId="77777777" w:rsidR="0098338E" w:rsidRPr="00684815" w:rsidRDefault="0098338E" w:rsidP="00CD436A">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56F524F2" w14:textId="77777777" w:rsidR="0098338E" w:rsidRPr="00684815" w:rsidRDefault="0098338E" w:rsidP="00CD436A">
            <w:pPr>
              <w:jc w:val="center"/>
              <w:rPr>
                <w:b/>
                <w:sz w:val="20"/>
                <w:szCs w:val="20"/>
              </w:rPr>
            </w:pPr>
          </w:p>
        </w:tc>
      </w:tr>
      <w:bookmarkEnd w:id="0"/>
      <w:tr w:rsidR="0098338E" w:rsidRPr="00FC24D3" w14:paraId="1F54698A" w14:textId="77777777" w:rsidTr="00CD436A">
        <w:trPr>
          <w:trHeight w:hRule="exact" w:val="454"/>
        </w:trPr>
        <w:tc>
          <w:tcPr>
            <w:tcW w:w="3397" w:type="dxa"/>
            <w:vMerge w:val="restart"/>
            <w:tcBorders>
              <w:left w:val="single" w:sz="4" w:space="0" w:color="auto"/>
              <w:right w:val="single" w:sz="4" w:space="0" w:color="auto"/>
            </w:tcBorders>
            <w:shd w:val="clear" w:color="auto" w:fill="B8CCE4" w:themeFill="accent1" w:themeFillTint="66"/>
            <w:vAlign w:val="center"/>
          </w:tcPr>
          <w:p w14:paraId="683F1E09" w14:textId="77777777" w:rsidR="0098338E" w:rsidRDefault="0098338E" w:rsidP="00CD436A">
            <w:pPr>
              <w:spacing w:line="276" w:lineRule="auto"/>
              <w:rPr>
                <w:b/>
                <w:sz w:val="20"/>
                <w:szCs w:val="20"/>
              </w:rPr>
            </w:pPr>
            <w:r>
              <w:rPr>
                <w:b/>
                <w:sz w:val="20"/>
                <w:szCs w:val="20"/>
              </w:rPr>
              <w:t xml:space="preserve">Celková nabídková cena </w:t>
            </w:r>
          </w:p>
          <w:p w14:paraId="4FB747DD" w14:textId="77777777" w:rsidR="0098338E" w:rsidRDefault="0098338E" w:rsidP="00CD436A">
            <w:pPr>
              <w:spacing w:line="276" w:lineRule="auto"/>
              <w:rPr>
                <w:b/>
                <w:sz w:val="20"/>
                <w:szCs w:val="20"/>
              </w:rPr>
            </w:pPr>
            <w:r>
              <w:rPr>
                <w:b/>
                <w:sz w:val="20"/>
                <w:szCs w:val="20"/>
              </w:rPr>
              <w:t>Doplnění závor</w:t>
            </w:r>
          </w:p>
          <w:p w14:paraId="454CC273" w14:textId="3F8EA7FC" w:rsidR="00FB7B59" w:rsidRPr="00FB7B59" w:rsidRDefault="00FB7B59" w:rsidP="00FB7B59">
            <w:pPr>
              <w:rPr>
                <w:bCs/>
                <w:i/>
                <w:iCs/>
                <w:sz w:val="20"/>
                <w:szCs w:val="20"/>
              </w:rPr>
            </w:pPr>
            <w:r w:rsidRPr="00FB7B59">
              <w:rPr>
                <w:bCs/>
                <w:i/>
                <w:iCs/>
                <w:sz w:val="20"/>
                <w:szCs w:val="20"/>
              </w:rPr>
              <w:t>/viz. Příloha č. 2.</w:t>
            </w:r>
            <w:r>
              <w:rPr>
                <w:bCs/>
                <w:i/>
                <w:iCs/>
                <w:sz w:val="20"/>
                <w:szCs w:val="20"/>
              </w:rPr>
              <w:t>2</w:t>
            </w:r>
            <w:r w:rsidRPr="00FB7B59">
              <w:rPr>
                <w:bCs/>
                <w:i/>
                <w:iCs/>
                <w:sz w:val="20"/>
                <w:szCs w:val="20"/>
              </w:rPr>
              <w:t>. ZD/</w:t>
            </w:r>
          </w:p>
          <w:p w14:paraId="58703894" w14:textId="4999099C" w:rsidR="00FB7B59" w:rsidRDefault="00FB7B59" w:rsidP="00CD436A">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376286" w14:textId="77777777" w:rsidR="0098338E" w:rsidRPr="00684815" w:rsidRDefault="0098338E" w:rsidP="00CD436A">
            <w:pPr>
              <w:spacing w:line="276" w:lineRule="auto"/>
              <w:rPr>
                <w:b/>
                <w:sz w:val="20"/>
                <w:szCs w:val="20"/>
              </w:rPr>
            </w:pPr>
            <w:r w:rsidRPr="00684815">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CBA9F0" w14:textId="77777777" w:rsidR="0098338E" w:rsidRPr="00684815" w:rsidRDefault="0098338E" w:rsidP="00CD436A">
            <w:pPr>
              <w:jc w:val="center"/>
              <w:rPr>
                <w:b/>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432E50" w14:textId="77777777" w:rsidR="0098338E" w:rsidRPr="00684815" w:rsidRDefault="0098338E" w:rsidP="00CD436A">
            <w:pPr>
              <w:jc w:val="center"/>
              <w:rPr>
                <w:b/>
                <w:sz w:val="20"/>
                <w:szCs w:val="20"/>
              </w:rPr>
            </w:pPr>
            <w:r w:rsidRPr="00684815">
              <w:rPr>
                <w:b/>
                <w:sz w:val="20"/>
                <w:szCs w:val="20"/>
              </w:rPr>
              <w:t>Cena v Kč včetně DPH</w:t>
            </w:r>
          </w:p>
        </w:tc>
      </w:tr>
      <w:tr w:rsidR="0098338E" w:rsidRPr="00FC24D3" w14:paraId="6592AF05" w14:textId="77777777" w:rsidTr="00CD436A">
        <w:trPr>
          <w:trHeight w:hRule="exact" w:val="454"/>
        </w:trPr>
        <w:tc>
          <w:tcPr>
            <w:tcW w:w="3397" w:type="dxa"/>
            <w:vMerge/>
            <w:tcBorders>
              <w:left w:val="single" w:sz="4" w:space="0" w:color="auto"/>
              <w:right w:val="single" w:sz="4" w:space="0" w:color="auto"/>
            </w:tcBorders>
            <w:shd w:val="clear" w:color="auto" w:fill="B8CCE4" w:themeFill="accent1" w:themeFillTint="66"/>
            <w:vAlign w:val="center"/>
          </w:tcPr>
          <w:p w14:paraId="046188A3" w14:textId="77777777" w:rsidR="0098338E" w:rsidRDefault="0098338E" w:rsidP="00CD436A">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2CC37CDA" w14:textId="77777777" w:rsidR="0098338E" w:rsidRPr="00684815" w:rsidRDefault="0098338E" w:rsidP="00CD436A">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62999468" w14:textId="77777777" w:rsidR="0098338E" w:rsidRPr="00684815" w:rsidRDefault="0098338E" w:rsidP="0098338E">
            <w:pP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38DF321F" w14:textId="77777777" w:rsidR="0098338E" w:rsidRPr="00684815" w:rsidRDefault="0098338E" w:rsidP="00CD436A">
            <w:pPr>
              <w:jc w:val="center"/>
              <w:rPr>
                <w:b/>
                <w:sz w:val="20"/>
                <w:szCs w:val="20"/>
              </w:rPr>
            </w:pPr>
          </w:p>
        </w:tc>
      </w:tr>
      <w:tr w:rsidR="0098338E" w:rsidRPr="00FC24D3" w14:paraId="4E740EFD" w14:textId="77777777" w:rsidTr="0098338E">
        <w:trPr>
          <w:trHeight w:hRule="exact" w:val="593"/>
        </w:trPr>
        <w:tc>
          <w:tcPr>
            <w:tcW w:w="3397" w:type="dxa"/>
            <w:vMerge w:val="restart"/>
            <w:tcBorders>
              <w:left w:val="single" w:sz="4" w:space="0" w:color="auto"/>
              <w:right w:val="single" w:sz="4" w:space="0" w:color="auto"/>
            </w:tcBorders>
            <w:shd w:val="clear" w:color="auto" w:fill="B8CCE4" w:themeFill="accent1" w:themeFillTint="66"/>
            <w:vAlign w:val="center"/>
          </w:tcPr>
          <w:p w14:paraId="475131E6" w14:textId="77777777" w:rsidR="0098338E" w:rsidRDefault="0098338E" w:rsidP="0098338E">
            <w:pPr>
              <w:spacing w:line="276" w:lineRule="auto"/>
              <w:rPr>
                <w:b/>
                <w:sz w:val="28"/>
                <w:szCs w:val="28"/>
              </w:rPr>
            </w:pPr>
            <w:r w:rsidRPr="0098338E">
              <w:rPr>
                <w:b/>
                <w:sz w:val="28"/>
                <w:szCs w:val="28"/>
              </w:rPr>
              <w:t xml:space="preserve">Celková nabídková cena </w:t>
            </w:r>
          </w:p>
          <w:p w14:paraId="7BB432E5" w14:textId="36813200" w:rsidR="00FB7B59" w:rsidRPr="00FB7B59" w:rsidRDefault="00FB7B59" w:rsidP="0098338E">
            <w:pPr>
              <w:spacing w:line="276" w:lineRule="auto"/>
              <w:rPr>
                <w:bCs/>
                <w:i/>
                <w:iCs/>
                <w:sz w:val="20"/>
                <w:szCs w:val="20"/>
              </w:rPr>
            </w:pPr>
            <w:r w:rsidRPr="00FB7B59">
              <w:rPr>
                <w:bCs/>
                <w:i/>
                <w:iCs/>
                <w:sz w:val="20"/>
                <w:szCs w:val="20"/>
              </w:rPr>
              <w:t>/za ob</w:t>
            </w:r>
            <w:r>
              <w:rPr>
                <w:bCs/>
                <w:i/>
                <w:iCs/>
                <w:sz w:val="20"/>
                <w:szCs w:val="20"/>
              </w:rPr>
              <w:t>ě Přílohy č. 2.1. a 2.2.</w:t>
            </w:r>
            <w:r w:rsidRPr="00FB7B59">
              <w:rPr>
                <w:bCs/>
                <w:i/>
                <w:iCs/>
                <w:sz w:val="20"/>
                <w:szCs w:val="20"/>
              </w:rPr>
              <w:t>/</w:t>
            </w:r>
          </w:p>
          <w:p w14:paraId="10F431A7" w14:textId="3F06B43D" w:rsidR="0098338E" w:rsidRPr="00FC24D3" w:rsidRDefault="0098338E" w:rsidP="0098338E">
            <w:pPr>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219921" w14:textId="07063337" w:rsidR="0098338E" w:rsidRPr="00684815" w:rsidRDefault="0098338E" w:rsidP="0098338E">
            <w:pPr>
              <w:spacing w:line="276" w:lineRule="auto"/>
              <w:rPr>
                <w:b/>
                <w:sz w:val="20"/>
                <w:szCs w:val="20"/>
              </w:rPr>
            </w:pPr>
            <w:r w:rsidRPr="00684815">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FC4913" w14:textId="34E4D112" w:rsidR="0098338E" w:rsidRPr="00684815" w:rsidRDefault="0098338E" w:rsidP="0098338E">
            <w:pPr>
              <w:jc w:val="center"/>
              <w:rPr>
                <w:b/>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B8C3FAF" w14:textId="208D31CC" w:rsidR="0098338E" w:rsidRPr="00684815" w:rsidRDefault="0098338E" w:rsidP="0098338E">
            <w:pPr>
              <w:jc w:val="center"/>
              <w:rPr>
                <w:b/>
                <w:sz w:val="20"/>
                <w:szCs w:val="20"/>
              </w:rPr>
            </w:pPr>
            <w:r w:rsidRPr="00684815">
              <w:rPr>
                <w:b/>
                <w:sz w:val="20"/>
                <w:szCs w:val="20"/>
              </w:rPr>
              <w:t>Cena v Kč včetně DPH</w:t>
            </w:r>
          </w:p>
        </w:tc>
      </w:tr>
      <w:tr w:rsidR="0098338E" w:rsidRPr="00FC24D3" w14:paraId="2126E60E" w14:textId="77777777" w:rsidTr="0098338E">
        <w:trPr>
          <w:trHeight w:hRule="exact" w:val="562"/>
        </w:trPr>
        <w:tc>
          <w:tcPr>
            <w:tcW w:w="3397" w:type="dxa"/>
            <w:vMerge/>
            <w:tcBorders>
              <w:left w:val="single" w:sz="4" w:space="0" w:color="auto"/>
              <w:right w:val="single" w:sz="4" w:space="0" w:color="auto"/>
            </w:tcBorders>
            <w:shd w:val="clear" w:color="auto" w:fill="B8CCE4" w:themeFill="accent1" w:themeFillTint="66"/>
            <w:vAlign w:val="center"/>
          </w:tcPr>
          <w:p w14:paraId="5DBA23E7" w14:textId="77777777" w:rsidR="0098338E" w:rsidRDefault="0098338E" w:rsidP="0098338E">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490040BD" w14:textId="77777777" w:rsidR="0098338E" w:rsidRPr="00684815" w:rsidRDefault="0098338E" w:rsidP="0098338E">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29C07B1D" w14:textId="77777777" w:rsidR="0098338E" w:rsidRPr="00684815" w:rsidRDefault="0098338E" w:rsidP="0098338E">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583FC2F4" w14:textId="77777777" w:rsidR="0098338E" w:rsidRPr="00684815" w:rsidRDefault="0098338E" w:rsidP="0098338E">
            <w:pPr>
              <w:jc w:val="center"/>
              <w:rPr>
                <w:b/>
                <w:sz w:val="20"/>
                <w:szCs w:val="20"/>
              </w:rPr>
            </w:pPr>
          </w:p>
        </w:tc>
      </w:tr>
    </w:tbl>
    <w:p w14:paraId="0872B570" w14:textId="77777777" w:rsidR="000D48EC" w:rsidRPr="00DC61A3" w:rsidRDefault="000D48EC" w:rsidP="000D48EC">
      <w:pPr>
        <w:ind w:right="141"/>
        <w:jc w:val="both"/>
        <w:rPr>
          <w:sz w:val="20"/>
          <w:szCs w:val="20"/>
        </w:rPr>
      </w:pPr>
    </w:p>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761EEC25" w14:textId="66830569" w:rsidR="00ED165D" w:rsidRPr="00DC61A3" w:rsidRDefault="008B4CD2" w:rsidP="008B4CD2">
      <w:pPr>
        <w:rPr>
          <w:sz w:val="20"/>
          <w:szCs w:val="20"/>
        </w:rPr>
      </w:pPr>
      <w:r w:rsidRPr="00DC61A3">
        <w:rPr>
          <w:sz w:val="20"/>
          <w:szCs w:val="20"/>
        </w:rPr>
        <w:t xml:space="preserve"> </w:t>
      </w:r>
    </w:p>
    <w:p w14:paraId="644E99DF" w14:textId="09DA70F3" w:rsidR="00D80C8C" w:rsidRPr="0098338E" w:rsidRDefault="00D80C8C" w:rsidP="008B4CD2">
      <w:pPr>
        <w:rPr>
          <w:sz w:val="20"/>
          <w:szCs w:val="20"/>
        </w:rPr>
      </w:pPr>
      <w:r w:rsidRPr="0098338E">
        <w:rPr>
          <w:sz w:val="20"/>
          <w:szCs w:val="20"/>
        </w:rPr>
        <w:t xml:space="preserve">V </w:t>
      </w:r>
      <w:r w:rsidRPr="0098338E">
        <w:rPr>
          <w:sz w:val="20"/>
          <w:szCs w:val="20"/>
          <w:highlight w:val="yellow"/>
        </w:rPr>
        <w:t>_____________ dne _________</w:t>
      </w:r>
      <w:r w:rsidRPr="0098338E">
        <w:rPr>
          <w:sz w:val="20"/>
          <w:szCs w:val="20"/>
          <w:highlight w:val="yellow"/>
        </w:rPr>
        <w:tab/>
        <w:t xml:space="preserve">     </w:t>
      </w:r>
      <w:r w:rsidRPr="0098338E">
        <w:rPr>
          <w:sz w:val="20"/>
          <w:szCs w:val="20"/>
          <w:highlight w:val="yellow"/>
        </w:rPr>
        <w:tab/>
      </w:r>
      <w:r w:rsidR="0098338E">
        <w:rPr>
          <w:sz w:val="20"/>
          <w:szCs w:val="20"/>
          <w:highlight w:val="yellow"/>
        </w:rPr>
        <w:tab/>
      </w:r>
      <w:r w:rsidRPr="0098338E">
        <w:rPr>
          <w:sz w:val="20"/>
          <w:szCs w:val="20"/>
          <w:highlight w:val="yellow"/>
        </w:rPr>
        <w:t xml:space="preserve"> ________________________________</w:t>
      </w:r>
    </w:p>
    <w:p w14:paraId="4581DD74" w14:textId="57398873" w:rsidR="00811DF9" w:rsidRPr="0098338E" w:rsidRDefault="00811DF9" w:rsidP="008B4CD2">
      <w:pPr>
        <w:rPr>
          <w:sz w:val="20"/>
          <w:szCs w:val="20"/>
        </w:rPr>
      </w:pPr>
      <w:r w:rsidRPr="0098338E">
        <w:rPr>
          <w:sz w:val="20"/>
          <w:szCs w:val="20"/>
        </w:rPr>
        <w:tab/>
      </w:r>
      <w:r w:rsidRPr="0098338E">
        <w:rPr>
          <w:sz w:val="20"/>
          <w:szCs w:val="20"/>
        </w:rPr>
        <w:tab/>
      </w:r>
      <w:r w:rsidRPr="0098338E">
        <w:rPr>
          <w:sz w:val="20"/>
          <w:szCs w:val="20"/>
        </w:rPr>
        <w:tab/>
      </w:r>
      <w:r w:rsidRPr="0098338E">
        <w:rPr>
          <w:sz w:val="20"/>
          <w:szCs w:val="20"/>
        </w:rPr>
        <w:tab/>
      </w:r>
      <w:r w:rsidRPr="0098338E">
        <w:rPr>
          <w:sz w:val="20"/>
          <w:szCs w:val="20"/>
        </w:rPr>
        <w:tab/>
      </w:r>
      <w:r w:rsidRPr="0098338E">
        <w:rPr>
          <w:sz w:val="20"/>
          <w:szCs w:val="20"/>
        </w:rPr>
        <w:tab/>
      </w:r>
      <w:r w:rsidR="00152FB6" w:rsidRPr="0098338E">
        <w:rPr>
          <w:sz w:val="20"/>
          <w:szCs w:val="20"/>
          <w:shd w:val="clear" w:color="auto" w:fill="FFFF00"/>
        </w:rPr>
        <w:t>Jméno a podpis osoby, oprávněné jednat za účastníka</w:t>
      </w:r>
    </w:p>
    <w:sectPr w:rsidR="00811DF9" w:rsidRPr="0098338E"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3E22"/>
    <w:rsid w:val="00054752"/>
    <w:rsid w:val="000822A0"/>
    <w:rsid w:val="00093B28"/>
    <w:rsid w:val="000A2263"/>
    <w:rsid w:val="000A2598"/>
    <w:rsid w:val="000A306A"/>
    <w:rsid w:val="000A335D"/>
    <w:rsid w:val="000B5531"/>
    <w:rsid w:val="000C792A"/>
    <w:rsid w:val="000D3403"/>
    <w:rsid w:val="000D41A0"/>
    <w:rsid w:val="000D48EC"/>
    <w:rsid w:val="000D6852"/>
    <w:rsid w:val="00134D3B"/>
    <w:rsid w:val="00152FB6"/>
    <w:rsid w:val="00156C92"/>
    <w:rsid w:val="00173A54"/>
    <w:rsid w:val="0017708A"/>
    <w:rsid w:val="00196E68"/>
    <w:rsid w:val="001C0397"/>
    <w:rsid w:val="002052C4"/>
    <w:rsid w:val="0022572F"/>
    <w:rsid w:val="00226C97"/>
    <w:rsid w:val="0022769C"/>
    <w:rsid w:val="00234B64"/>
    <w:rsid w:val="00250D32"/>
    <w:rsid w:val="002554BE"/>
    <w:rsid w:val="00257B52"/>
    <w:rsid w:val="00264313"/>
    <w:rsid w:val="0027546D"/>
    <w:rsid w:val="002D4479"/>
    <w:rsid w:val="002D582A"/>
    <w:rsid w:val="002F129A"/>
    <w:rsid w:val="003206E8"/>
    <w:rsid w:val="00332DA2"/>
    <w:rsid w:val="0034454C"/>
    <w:rsid w:val="0035702A"/>
    <w:rsid w:val="0037685B"/>
    <w:rsid w:val="003A157B"/>
    <w:rsid w:val="003C568F"/>
    <w:rsid w:val="00427704"/>
    <w:rsid w:val="00443A5F"/>
    <w:rsid w:val="00462E47"/>
    <w:rsid w:val="004670A5"/>
    <w:rsid w:val="00490D15"/>
    <w:rsid w:val="004A5672"/>
    <w:rsid w:val="004C0C73"/>
    <w:rsid w:val="004C2978"/>
    <w:rsid w:val="004D18E6"/>
    <w:rsid w:val="004E35B6"/>
    <w:rsid w:val="004F10D5"/>
    <w:rsid w:val="004F3C7F"/>
    <w:rsid w:val="00504788"/>
    <w:rsid w:val="00550F79"/>
    <w:rsid w:val="00552D75"/>
    <w:rsid w:val="0056278A"/>
    <w:rsid w:val="00562EB0"/>
    <w:rsid w:val="00581119"/>
    <w:rsid w:val="00596A1E"/>
    <w:rsid w:val="005B3B5B"/>
    <w:rsid w:val="005C12CF"/>
    <w:rsid w:val="005C4B63"/>
    <w:rsid w:val="00607BEC"/>
    <w:rsid w:val="0061747F"/>
    <w:rsid w:val="0063301B"/>
    <w:rsid w:val="006371F4"/>
    <w:rsid w:val="006708F9"/>
    <w:rsid w:val="0068086E"/>
    <w:rsid w:val="006858F3"/>
    <w:rsid w:val="006A0D6F"/>
    <w:rsid w:val="006B64AD"/>
    <w:rsid w:val="006C1DAB"/>
    <w:rsid w:val="006D38A0"/>
    <w:rsid w:val="006E04C8"/>
    <w:rsid w:val="006E0E83"/>
    <w:rsid w:val="006E1435"/>
    <w:rsid w:val="006F0138"/>
    <w:rsid w:val="006F6489"/>
    <w:rsid w:val="00704408"/>
    <w:rsid w:val="00721023"/>
    <w:rsid w:val="00724E79"/>
    <w:rsid w:val="0072559C"/>
    <w:rsid w:val="007323CA"/>
    <w:rsid w:val="00736E19"/>
    <w:rsid w:val="0076159F"/>
    <w:rsid w:val="00761952"/>
    <w:rsid w:val="00761D77"/>
    <w:rsid w:val="00764E99"/>
    <w:rsid w:val="00765F17"/>
    <w:rsid w:val="007671E0"/>
    <w:rsid w:val="00783E6C"/>
    <w:rsid w:val="00790006"/>
    <w:rsid w:val="00792765"/>
    <w:rsid w:val="007A1B5F"/>
    <w:rsid w:val="007A4F7F"/>
    <w:rsid w:val="007A5CC9"/>
    <w:rsid w:val="007B0EC4"/>
    <w:rsid w:val="007C37A3"/>
    <w:rsid w:val="007C3BB6"/>
    <w:rsid w:val="007D01D5"/>
    <w:rsid w:val="007D0C4E"/>
    <w:rsid w:val="007D2655"/>
    <w:rsid w:val="007F4842"/>
    <w:rsid w:val="00811DF9"/>
    <w:rsid w:val="00814284"/>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338E"/>
    <w:rsid w:val="00984610"/>
    <w:rsid w:val="009858A2"/>
    <w:rsid w:val="00993F9A"/>
    <w:rsid w:val="009A1122"/>
    <w:rsid w:val="009B204E"/>
    <w:rsid w:val="009D23EC"/>
    <w:rsid w:val="009D32AA"/>
    <w:rsid w:val="009E2E95"/>
    <w:rsid w:val="00A076B2"/>
    <w:rsid w:val="00A13AE6"/>
    <w:rsid w:val="00A16F6C"/>
    <w:rsid w:val="00A234EE"/>
    <w:rsid w:val="00A27C57"/>
    <w:rsid w:val="00A40403"/>
    <w:rsid w:val="00A546CC"/>
    <w:rsid w:val="00A55D68"/>
    <w:rsid w:val="00A72B8B"/>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C52FC"/>
    <w:rsid w:val="00BD216A"/>
    <w:rsid w:val="00BF0717"/>
    <w:rsid w:val="00C06510"/>
    <w:rsid w:val="00C3350E"/>
    <w:rsid w:val="00C462B0"/>
    <w:rsid w:val="00C5565E"/>
    <w:rsid w:val="00C617CC"/>
    <w:rsid w:val="00C65845"/>
    <w:rsid w:val="00C7685D"/>
    <w:rsid w:val="00C863EE"/>
    <w:rsid w:val="00C9045E"/>
    <w:rsid w:val="00CB0D38"/>
    <w:rsid w:val="00CE593C"/>
    <w:rsid w:val="00CF2A75"/>
    <w:rsid w:val="00D47CA6"/>
    <w:rsid w:val="00D55A45"/>
    <w:rsid w:val="00D6094E"/>
    <w:rsid w:val="00D60EEC"/>
    <w:rsid w:val="00D75A04"/>
    <w:rsid w:val="00D80C8C"/>
    <w:rsid w:val="00D96F49"/>
    <w:rsid w:val="00DB6F47"/>
    <w:rsid w:val="00DC61A3"/>
    <w:rsid w:val="00DF2CD3"/>
    <w:rsid w:val="00E07357"/>
    <w:rsid w:val="00E1057C"/>
    <w:rsid w:val="00E1343A"/>
    <w:rsid w:val="00E1472C"/>
    <w:rsid w:val="00E16E49"/>
    <w:rsid w:val="00E2246B"/>
    <w:rsid w:val="00E23DFE"/>
    <w:rsid w:val="00E24BD4"/>
    <w:rsid w:val="00E42504"/>
    <w:rsid w:val="00E4558C"/>
    <w:rsid w:val="00E45A2B"/>
    <w:rsid w:val="00E6151F"/>
    <w:rsid w:val="00E70990"/>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06E5"/>
    <w:rsid w:val="00F95429"/>
    <w:rsid w:val="00FB7B59"/>
    <w:rsid w:val="00FC6754"/>
    <w:rsid w:val="00FD41F2"/>
    <w:rsid w:val="00FD61E0"/>
    <w:rsid w:val="00FE5B7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1599</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6</cp:revision>
  <cp:lastPrinted>2023-10-12T05:33:00Z</cp:lastPrinted>
  <dcterms:created xsi:type="dcterms:W3CDTF">2026-01-08T07:39:00Z</dcterms:created>
  <dcterms:modified xsi:type="dcterms:W3CDTF">2026-01-29T09:21:00Z</dcterms:modified>
</cp:coreProperties>
</file>