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E6D1" w14:textId="42C929A4" w:rsidR="00C50EAC" w:rsidRPr="00107A9E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107A9E">
        <w:rPr>
          <w:rFonts w:ascii="Palatino Linotype" w:hAnsi="Palatino Linotype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107A9E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107A9E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07A9E" w:rsidRPr="00107A9E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107A9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107A9E" w:rsidRPr="00107A9E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1742392" w:rsidR="00C5658A" w:rsidRPr="008D57F5" w:rsidRDefault="008D57F5" w:rsidP="008D57F5">
            <w:pPr>
              <w:keepNext/>
              <w:keepLines/>
              <w:widowControl w:val="0"/>
              <w:spacing w:before="280" w:after="280"/>
              <w:jc w:val="both"/>
              <w:rPr>
                <w:rFonts w:ascii="Palatino Linotype" w:eastAsia="Arial" w:hAnsi="Palatino Linotype" w:cs="Arial"/>
                <w:b/>
                <w:sz w:val="28"/>
                <w:szCs w:val="28"/>
              </w:rPr>
            </w:pPr>
            <w:r w:rsidRPr="00F719CD">
              <w:rPr>
                <w:rFonts w:ascii="Palatino Linotype" w:eastAsia="Arial" w:hAnsi="Palatino Linotype" w:cs="Arial"/>
                <w:b/>
                <w:sz w:val="28"/>
                <w:szCs w:val="28"/>
              </w:rPr>
              <w:t>Dodávka obráběcích CNC strojů</w:t>
            </w:r>
            <w:bookmarkStart w:id="0" w:name="_GoBack"/>
            <w:bookmarkEnd w:id="0"/>
          </w:p>
        </w:tc>
      </w:tr>
      <w:tr w:rsidR="00107A9E" w:rsidRPr="00107A9E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107A9E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3AFD0F5" w:rsidR="00F86835" w:rsidRPr="00107A9E" w:rsidRDefault="00B252A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38741A">
              <w:rPr>
                <w:rFonts w:ascii="Palatino Linotype" w:hAnsi="Palatino Linotype"/>
                <w:b/>
              </w:rPr>
              <w:t>Střední průmyslová škola, Odborná škola a Základní škola, Nové Město nad Metují</w:t>
            </w:r>
          </w:p>
        </w:tc>
      </w:tr>
      <w:tr w:rsidR="00107A9E" w:rsidRPr="00107A9E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12FA9E5" w:rsidR="00C5658A" w:rsidRPr="00107A9E" w:rsidRDefault="0074275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 xml:space="preserve">zjednodušené podlimitní řízení </w:t>
            </w:r>
            <w:r w:rsidR="00EE6172" w:rsidRPr="00107A9E">
              <w:rPr>
                <w:rFonts w:ascii="Palatino Linotype" w:hAnsi="Palatino Linotype" w:cs="Arial"/>
                <w:sz w:val="20"/>
                <w:szCs w:val="20"/>
              </w:rPr>
              <w:t xml:space="preserve">na </w:t>
            </w:r>
            <w:r w:rsidR="001907F0">
              <w:rPr>
                <w:rFonts w:ascii="Palatino Linotype" w:hAnsi="Palatino Linotype" w:cs="Arial"/>
                <w:sz w:val="20"/>
                <w:szCs w:val="20"/>
              </w:rPr>
              <w:t>dodávky</w:t>
            </w:r>
            <w:r w:rsidR="00EE6172" w:rsidRPr="00107A9E">
              <w:rPr>
                <w:rFonts w:ascii="Palatino Linotype" w:hAnsi="Palatino Linotype" w:cs="Arial"/>
                <w:sz w:val="20"/>
                <w:szCs w:val="20"/>
              </w:rPr>
              <w:t xml:space="preserve"> v podlimitním režimu</w:t>
            </w:r>
          </w:p>
        </w:tc>
      </w:tr>
      <w:tr w:rsidR="00107A9E" w:rsidRPr="00107A9E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107A9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14B3F7F1" w:rsidR="00846F38" w:rsidRPr="00107A9E" w:rsidRDefault="001907F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D43AC">
              <w:rPr>
                <w:rFonts w:ascii="Palatino Linotype" w:hAnsi="Palatino Linotype"/>
                <w:b/>
                <w:bCs/>
              </w:rPr>
              <w:t>3 677 685</w:t>
            </w:r>
            <w:r w:rsidRPr="001907F0">
              <w:rPr>
                <w:rFonts w:ascii="Palatino Linotype" w:hAnsi="Palatino Linotype"/>
                <w:b/>
                <w:bCs/>
              </w:rPr>
              <w:t xml:space="preserve"> </w:t>
            </w:r>
            <w:r w:rsidR="00AE08F8"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107A9E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color w:val="FF0000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07A9E" w:rsidRPr="00107A9E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107A9E" w:rsidRPr="00107A9E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07A9E" w:rsidRPr="00107A9E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107A9E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Pr="00107A9E"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07A9E" w:rsidRPr="00107A9E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107A9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07A9E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07A9E" w:rsidRPr="00107A9E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107A9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107A9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107A9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67C969DB" w14:textId="160C1129" w:rsidR="00107A9E" w:rsidRPr="00107A9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B92E0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/</w:t>
            </w:r>
          </w:p>
          <w:p w14:paraId="298E60CB" w14:textId="7ECF0A41" w:rsidR="00B25D5A" w:rsidRPr="00107A9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107A9E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color w:val="FF0000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107A9E" w:rsidRPr="00107A9E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07A9E" w:rsidRPr="00107A9E" w14:paraId="54D2245F" w14:textId="77777777" w:rsidTr="00735AC3">
        <w:tc>
          <w:tcPr>
            <w:tcW w:w="1640" w:type="pct"/>
            <w:shd w:val="clear" w:color="auto" w:fill="F2F2F2" w:themeFill="background1" w:themeFillShade="F2"/>
            <w:vAlign w:val="center"/>
          </w:tcPr>
          <w:p w14:paraId="65077D53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smluvních</w:t>
            </w:r>
          </w:p>
        </w:tc>
        <w:tc>
          <w:tcPr>
            <w:tcW w:w="3360" w:type="pct"/>
          </w:tcPr>
          <w:p w14:paraId="6B5FC9EB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657B10FA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1CCA2ED9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1374089C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16C2F0B7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3D472B86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360" w:type="pct"/>
          </w:tcPr>
          <w:p w14:paraId="6E5D9250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4E8806AD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4F995474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technických</w:t>
            </w:r>
          </w:p>
        </w:tc>
        <w:tc>
          <w:tcPr>
            <w:tcW w:w="3360" w:type="pct"/>
          </w:tcPr>
          <w:p w14:paraId="4849B3EA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2A809536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5374FF8D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4A7CA2DB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05DFA161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21E8F071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360" w:type="pct"/>
          </w:tcPr>
          <w:p w14:paraId="005CDEE5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6090A9F7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47290ADD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Telefonní číslo (Hot-line) pro příjem požadavků na odstranění vady v českém jazyce v pracovní dny v době 8:00 – 17:00 h (</w:t>
            </w: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dle odst. 11.4.3 smlouvy o dílo)</w:t>
            </w:r>
          </w:p>
        </w:tc>
        <w:tc>
          <w:tcPr>
            <w:tcW w:w="3360" w:type="pct"/>
          </w:tcPr>
          <w:p w14:paraId="0C92988E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6EF33203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02D2804D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65AE7F14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28D55814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E-mailová adresa pro příjem požadavků na odstranění vady v režimu 7x24x365 (</w:t>
            </w: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dle odst. 11.4.3 smlouvy o dílo)</w:t>
            </w:r>
          </w:p>
        </w:tc>
        <w:tc>
          <w:tcPr>
            <w:tcW w:w="3360" w:type="pct"/>
          </w:tcPr>
          <w:p w14:paraId="1BA0BE9A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00BCCA6E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F32C6C" w14:textId="65C238F0" w:rsidR="00B91D14" w:rsidRPr="00107A9E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color w:val="FF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7A9E" w:rsidRPr="006719A2" w14:paraId="6B9A1058" w14:textId="77777777" w:rsidTr="00107A9E">
        <w:tc>
          <w:tcPr>
            <w:tcW w:w="9062" w:type="dxa"/>
            <w:gridSpan w:val="3"/>
            <w:shd w:val="clear" w:color="auto" w:fill="D6E3BC" w:themeFill="accent3" w:themeFillTint="66"/>
          </w:tcPr>
          <w:p w14:paraId="1D309392" w14:textId="77777777" w:rsidR="00107A9E" w:rsidRPr="003E2067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>Nabídková cena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celkem</w:t>
            </w: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v Kč </w:t>
            </w:r>
          </w:p>
        </w:tc>
      </w:tr>
      <w:tr w:rsidR="00107A9E" w:rsidRPr="006719A2" w14:paraId="266925F1" w14:textId="77777777" w:rsidTr="00107A9E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071E4AD" w14:textId="77777777" w:rsidR="00107A9E" w:rsidRDefault="00107A9E" w:rsidP="00F62AA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90AD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Palatino Linotype" w:hAnsi="Palatino Linotype" w:cs="Arial"/>
                <w:sz w:val="20"/>
                <w:szCs w:val="20"/>
              </w:rPr>
              <w:t>(za kompletní dodávku)</w:t>
            </w: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–</w:t>
            </w:r>
          </w:p>
          <w:p w14:paraId="7C5E791E" w14:textId="77777777" w:rsidR="00107A9E" w:rsidRPr="006719A2" w:rsidRDefault="00107A9E" w:rsidP="00F62AA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color w:val="FF0000"/>
                <w:sz w:val="24"/>
                <w:szCs w:val="24"/>
              </w:rPr>
              <w:t>údaj pro hodnocení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4F595D8C" w14:textId="77777777" w:rsidR="00107A9E" w:rsidRPr="006719A2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DPH samostatně 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3266A232" w14:textId="77777777" w:rsidR="00107A9E" w:rsidRPr="006719A2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>Nabídková cena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3C5A23">
              <w:rPr>
                <w:rFonts w:ascii="Palatino Linotype" w:hAnsi="Palatino Linotype" w:cs="Arial"/>
                <w:b/>
                <w:sz w:val="20"/>
                <w:szCs w:val="20"/>
              </w:rPr>
              <w:t>včetně DPH</w:t>
            </w:r>
          </w:p>
        </w:tc>
      </w:tr>
      <w:tr w:rsidR="00107A9E" w:rsidRPr="00107A9E" w14:paraId="7CCD161A" w14:textId="77777777" w:rsidTr="00F62AA7">
        <w:trPr>
          <w:trHeight w:val="933"/>
        </w:trPr>
        <w:tc>
          <w:tcPr>
            <w:tcW w:w="3020" w:type="dxa"/>
            <w:vAlign w:val="center"/>
          </w:tcPr>
          <w:p w14:paraId="2AE156DC" w14:textId="77777777" w:rsidR="00107A9E" w:rsidRPr="00107A9E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1CDF444" w14:textId="77777777" w:rsidR="00107A9E" w:rsidRPr="00107A9E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5208CF9" w14:textId="77777777" w:rsidR="00107A9E" w:rsidRPr="00107A9E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6678A47" w14:textId="77777777" w:rsidR="00107A9E" w:rsidRPr="00107A9E" w:rsidRDefault="00107A9E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alatino Linotype" w:hAnsi="Palatino Linotype" w:cs="Arial"/>
          <w:b/>
          <w:bCs/>
          <w:sz w:val="6"/>
          <w:szCs w:val="6"/>
        </w:rPr>
      </w:pPr>
    </w:p>
    <w:p w14:paraId="1E7D5455" w14:textId="42E88537" w:rsidR="00C50EAC" w:rsidRPr="00107A9E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107A9E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107A9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107A9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107A9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107A9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107A9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107A9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9D9E1EE" w:rsidR="00C50EAC" w:rsidRPr="00107A9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Pr="00107A9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107A9E">
        <w:rPr>
          <w:rFonts w:ascii="Palatino Linotype" w:hAnsi="Palatino Linotype" w:cs="Arial"/>
          <w:b/>
        </w:rPr>
        <w:t>Dodavatel k prokázání profesní způsobilosti prohlašuje, že:</w:t>
      </w:r>
    </w:p>
    <w:p w14:paraId="42F03A78" w14:textId="30D99F1D" w:rsidR="00C50EAC" w:rsidRPr="00107A9E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lastRenderedPageBreak/>
        <w:t>je zapsán v obchodním rejstříku nebo jiné obdobné evidenci a disponuje výpisem z obchodního rejstříku nebo jiné obdobné evidence, pokud jiný právní předpis zápis do takové evidence vyžaduje</w:t>
      </w:r>
      <w:r w:rsidR="004A44CB" w:rsidRPr="00107A9E">
        <w:rPr>
          <w:rFonts w:ascii="Palatino Linotype" w:hAnsi="Palatino Linotype" w:cs="Arial"/>
          <w:bCs/>
          <w:sz w:val="20"/>
          <w:szCs w:val="20"/>
        </w:rPr>
        <w:t>,</w:t>
      </w:r>
    </w:p>
    <w:p w14:paraId="491002A0" w14:textId="22F877CE" w:rsidR="00535C8F" w:rsidRPr="008D458F" w:rsidRDefault="00FF7275" w:rsidP="00FF7275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Palatino Linotype" w:hAnsi="Palatino Linotype" w:cs="Arial"/>
          <w:bCs/>
          <w:sz w:val="20"/>
          <w:szCs w:val="20"/>
          <w:vertAlign w:val="superscript"/>
        </w:rPr>
      </w:pPr>
      <w:r w:rsidRPr="008D458F">
        <w:rPr>
          <w:rFonts w:ascii="Palatino Linotype" w:hAnsi="Palatino Linotype" w:cs="Arial"/>
          <w:bCs/>
          <w:sz w:val="20"/>
          <w:szCs w:val="20"/>
        </w:rPr>
        <w:t xml:space="preserve">disponuje </w:t>
      </w:r>
      <w:bookmarkStart w:id="1" w:name="_Hlk98506802"/>
      <w:r w:rsidRPr="008D458F">
        <w:rPr>
          <w:rFonts w:ascii="Palatino Linotype" w:hAnsi="Palatino Linotype" w:cs="Arial"/>
          <w:bCs/>
          <w:sz w:val="20"/>
          <w:szCs w:val="20"/>
        </w:rPr>
        <w:t>dokladem</w:t>
      </w:r>
      <w:r w:rsidR="00535C8F" w:rsidRPr="008D458F">
        <w:rPr>
          <w:rFonts w:ascii="Palatino Linotype" w:hAnsi="Palatino Linotype" w:cs="Arial"/>
          <w:bCs/>
          <w:sz w:val="20"/>
          <w:szCs w:val="20"/>
        </w:rPr>
        <w:t xml:space="preserve"> o oprávnění k podnikání podle zvláštních právních předpisů v rozsahu odpovídajícímu plnění zakázky, zejména doklad</w:t>
      </w:r>
      <w:r w:rsidRPr="008D458F">
        <w:rPr>
          <w:rFonts w:ascii="Palatino Linotype" w:hAnsi="Palatino Linotype" w:cs="Arial"/>
          <w:bCs/>
          <w:sz w:val="20"/>
          <w:szCs w:val="20"/>
        </w:rPr>
        <w:t>em</w:t>
      </w:r>
      <w:r w:rsidR="00535C8F" w:rsidRPr="008D458F">
        <w:rPr>
          <w:rFonts w:ascii="Palatino Linotype" w:hAnsi="Palatino Linotype" w:cs="Arial"/>
          <w:bCs/>
          <w:sz w:val="20"/>
          <w:szCs w:val="20"/>
        </w:rPr>
        <w:t xml:space="preserve"> prokazujícího příslušné živnostenské oprávnění či licence</w:t>
      </w:r>
      <w:bookmarkEnd w:id="1"/>
      <w:r w:rsidR="004A44CB" w:rsidRPr="008D458F">
        <w:rPr>
          <w:rFonts w:ascii="Palatino Linotype" w:hAnsi="Palatino Linotype" w:cs="Arial"/>
          <w:bCs/>
          <w:sz w:val="20"/>
          <w:szCs w:val="20"/>
        </w:rPr>
        <w:t>:</w:t>
      </w:r>
    </w:p>
    <w:p w14:paraId="70F44F77" w14:textId="199BB91C" w:rsidR="005B73F6" w:rsidRDefault="008D458F" w:rsidP="005B73F6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735AC3">
        <w:rPr>
          <w:rFonts w:ascii="Palatino Linotype" w:hAnsi="Palatino Linotype" w:cs="Arial"/>
          <w:bCs/>
          <w:sz w:val="20"/>
          <w:szCs w:val="20"/>
          <w:highlight w:val="yellow"/>
        </w:rPr>
        <w:t>[doplní dodavatel]</w:t>
      </w:r>
    </w:p>
    <w:p w14:paraId="06192E0F" w14:textId="77777777" w:rsidR="008D458F" w:rsidRPr="00735AC3" w:rsidRDefault="008D458F" w:rsidP="005B73F6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sz w:val="20"/>
          <w:szCs w:val="20"/>
        </w:rPr>
      </w:pPr>
    </w:p>
    <w:p w14:paraId="5D4DA518" w14:textId="6FD5EE21" w:rsidR="005B73F6" w:rsidRPr="00735AC3" w:rsidRDefault="005B73F6" w:rsidP="005B73F6">
      <w:pPr>
        <w:pStyle w:val="Odstavecseseznamem"/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hanging="284"/>
        <w:jc w:val="both"/>
        <w:rPr>
          <w:rFonts w:ascii="Palatino Linotype" w:eastAsia="Arial" w:hAnsi="Palatino Linotype" w:cs="Arial"/>
          <w:sz w:val="20"/>
          <w:szCs w:val="20"/>
        </w:rPr>
      </w:pPr>
      <w:bookmarkStart w:id="2" w:name="_Hlk103494388"/>
      <w:r w:rsidRPr="00735AC3">
        <w:rPr>
          <w:rFonts w:ascii="Palatino Linotype" w:hAnsi="Palatino Linotype" w:cs="Arial"/>
          <w:b/>
          <w:sz w:val="20"/>
          <w:szCs w:val="20"/>
        </w:rPr>
        <w:t xml:space="preserve">Dodavatel k prokázání </w:t>
      </w:r>
      <w:bookmarkEnd w:id="2"/>
      <w:r w:rsidRPr="00735AC3">
        <w:rPr>
          <w:rFonts w:ascii="Palatino Linotype" w:hAnsi="Palatino Linotype" w:cs="Arial"/>
          <w:b/>
          <w:sz w:val="20"/>
          <w:szCs w:val="20"/>
        </w:rPr>
        <w:t xml:space="preserve">technické kvalifikace předkládá seznam </w:t>
      </w:r>
      <w:r w:rsidR="004658DF">
        <w:rPr>
          <w:rFonts w:ascii="Palatino Linotype" w:hAnsi="Palatino Linotype" w:cs="Arial"/>
          <w:b/>
          <w:sz w:val="20"/>
          <w:szCs w:val="20"/>
        </w:rPr>
        <w:t>významných dodávek</w:t>
      </w:r>
    </w:p>
    <w:p w14:paraId="5E37595B" w14:textId="697E53C5" w:rsidR="004658DF" w:rsidRPr="007D3D1A" w:rsidRDefault="004658DF" w:rsidP="004658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b/>
          <w:bCs/>
        </w:rPr>
      </w:pPr>
      <w:r w:rsidRPr="00F17AE6">
        <w:rPr>
          <w:rFonts w:ascii="Palatino Linotype" w:eastAsia="Arial" w:hAnsi="Palatino Linotype" w:cs="Arial"/>
          <w:b/>
        </w:rPr>
        <w:t xml:space="preserve">A to, alespoň tří (3) významných obdobných dodávek </w:t>
      </w:r>
      <w:bookmarkStart w:id="3" w:name="_Hlk103498822"/>
      <w:r w:rsidRPr="00F17AE6">
        <w:rPr>
          <w:rFonts w:ascii="Palatino Linotype" w:eastAsia="Arial" w:hAnsi="Palatino Linotype" w:cs="Arial"/>
          <w:b/>
        </w:rPr>
        <w:t xml:space="preserve">poskytnutých za poslední tři (3) roky </w:t>
      </w:r>
      <w:r w:rsidRPr="00F17AE6">
        <w:rPr>
          <w:rFonts w:ascii="Palatino Linotype" w:eastAsia="Arial" w:hAnsi="Palatino Linotype" w:cs="Arial"/>
        </w:rPr>
        <w:t>před zahájením zadávacího řízen</w:t>
      </w:r>
      <w:bookmarkEnd w:id="3"/>
      <w:r w:rsidRPr="00F17AE6">
        <w:rPr>
          <w:rFonts w:ascii="Palatino Linotype" w:eastAsia="Arial" w:hAnsi="Palatino Linotype" w:cs="Arial"/>
        </w:rPr>
        <w:t xml:space="preserve">í </w:t>
      </w:r>
      <w:r w:rsidRPr="00F17AE6">
        <w:rPr>
          <w:rFonts w:ascii="Palatino Linotype" w:eastAsia="Arial" w:hAnsi="Palatino Linotype" w:cs="Arial"/>
          <w:u w:val="single"/>
        </w:rPr>
        <w:t xml:space="preserve">včetně </w:t>
      </w:r>
      <w:r w:rsidRPr="00F17AE6">
        <w:rPr>
          <w:rFonts w:ascii="Palatino Linotype" w:eastAsia="Arial" w:hAnsi="Palatino Linotype" w:cs="Arial"/>
        </w:rPr>
        <w:t xml:space="preserve">uvedení ceny a doby poskytnutí a identifikace objednatele, </w:t>
      </w:r>
      <w:r w:rsidRPr="008D458F">
        <w:rPr>
          <w:rFonts w:ascii="Palatino Linotype" w:hAnsi="Palatino Linotype" w:cstheme="minorHAnsi"/>
          <w:b/>
          <w:bCs/>
        </w:rPr>
        <w:t>v minimální finanční hodnotě 1,4 mil. Kč bez DPH</w:t>
      </w:r>
      <w:r w:rsidR="00F17AE6" w:rsidRPr="007D3D1A">
        <w:rPr>
          <w:rFonts w:ascii="Palatino Linotype" w:hAnsi="Palatino Linotype" w:cstheme="minorHAnsi"/>
          <w:b/>
          <w:bCs/>
        </w:rPr>
        <w:t xml:space="preserve"> za jednu takovou zakázku:</w:t>
      </w:r>
    </w:p>
    <w:p w14:paraId="24BA2598" w14:textId="77777777" w:rsidR="00835540" w:rsidRPr="00735AC3" w:rsidRDefault="00835540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ED2BEBB" w14:textId="0D482B84" w:rsidR="00D32C92" w:rsidRPr="00735AC3" w:rsidRDefault="004864CE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  <w:r w:rsidRPr="00735AC3">
        <w:rPr>
          <w:rFonts w:ascii="Palatino Linotype" w:hAnsi="Palatino Linotype" w:cs="Arial"/>
          <w:b/>
          <w:sz w:val="20"/>
          <w:szCs w:val="20"/>
        </w:rPr>
        <w:t>Významná zakázka č. 1</w:t>
      </w:r>
    </w:p>
    <w:p w14:paraId="38917286" w14:textId="77777777" w:rsidR="0046482C" w:rsidRPr="00735AC3" w:rsidRDefault="0046482C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Cs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35AC3" w:rsidRPr="00735AC3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111A8E06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4" w:name="_Hlk103494183"/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významné </w:t>
            </w:r>
            <w:r w:rsidR="00B5572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57AA2BF8" w14:textId="2B1685BC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významné </w:t>
            </w:r>
            <w:r w:rsidR="003654D7">
              <w:rPr>
                <w:rFonts w:ascii="Palatino Linotype" w:hAnsi="Palatino Linotype" w:cs="Arial"/>
                <w:bCs/>
                <w:sz w:val="20"/>
                <w:szCs w:val="20"/>
              </w:rPr>
              <w:t>dodávky</w:t>
            </w: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235C07C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735AC3" w:rsidRDefault="003E24ED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535320B1" w:rsidR="003E24ED" w:rsidRPr="00735AC3" w:rsidRDefault="00F64846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C3113" w14:textId="2833522F" w:rsidR="003E24ED" w:rsidRPr="003654D7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Rok a měsíc </w:t>
            </w:r>
            <w:r w:rsidR="003654D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53E4997C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39BD9DEF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A2A184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349A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7BECA6C" w14:textId="113E9FBE" w:rsidR="0046482C" w:rsidRDefault="0046482C" w:rsidP="00E973D7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5" w:name="_Hlk137461068"/>
      <w:r w:rsidRPr="00735AC3">
        <w:rPr>
          <w:rFonts w:ascii="Palatino Linotype" w:hAnsi="Palatino Linotype" w:cs="Arial"/>
          <w:b/>
          <w:sz w:val="20"/>
          <w:szCs w:val="20"/>
        </w:rPr>
        <w:t xml:space="preserve">        Významná zakázka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654D7" w:rsidRPr="00735AC3" w14:paraId="5E002C01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544019" w14:textId="0CE6731B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významné </w:t>
            </w:r>
            <w:r w:rsidR="00B5572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C3B7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54D7" w:rsidRPr="00735AC3" w14:paraId="009D20F8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50B1D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21A82ED4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významné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dodávky</w:t>
            </w: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45F2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54D7" w:rsidRPr="00735AC3" w14:paraId="6D35917A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068B95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125A387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5390" w14:textId="77777777" w:rsidR="003654D7" w:rsidRPr="00735AC3" w:rsidRDefault="003654D7" w:rsidP="00FF37E5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54D7" w:rsidRPr="00735AC3" w14:paraId="764C234B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AF12D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EEE" w14:textId="77777777" w:rsidR="003654D7" w:rsidRPr="00735AC3" w:rsidRDefault="003654D7" w:rsidP="00FF37E5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54D7" w:rsidRPr="00735AC3" w14:paraId="682C38B9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2F559" w14:textId="77777777" w:rsidR="003654D7" w:rsidRPr="003654D7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Rok a měsíc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2FF9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54D7" w:rsidRPr="00735AC3" w14:paraId="3B62B1B7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9062D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8E37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5ED7FC" w14:textId="28F2EF1C" w:rsidR="003654D7" w:rsidRDefault="003654D7" w:rsidP="003654D7">
      <w:pPr>
        <w:pStyle w:val="Odstavecseseznamem"/>
        <w:autoSpaceDE w:val="0"/>
        <w:autoSpaceDN w:val="0"/>
        <w:adjustRightInd w:val="0"/>
        <w:spacing w:before="240" w:after="240"/>
        <w:ind w:left="0" w:firstLine="708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 zakázka č. 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654D7" w:rsidRPr="00735AC3" w14:paraId="3F892BC4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B97613" w14:textId="3AB8DEEC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významné </w:t>
            </w:r>
            <w:r w:rsidR="00B5572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86D9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54D7" w:rsidRPr="00735AC3" w14:paraId="6D8DFD53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60DE7D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7B44248B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významné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dodávky</w:t>
            </w: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DF1D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54D7" w:rsidRPr="00735AC3" w14:paraId="7BC484F0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3C5648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54C6FD6B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D60C" w14:textId="77777777" w:rsidR="003654D7" w:rsidRPr="00735AC3" w:rsidRDefault="003654D7" w:rsidP="00FF37E5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54D7" w:rsidRPr="00735AC3" w14:paraId="4A9BD113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CF1AF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237" w14:textId="77777777" w:rsidR="003654D7" w:rsidRPr="00735AC3" w:rsidRDefault="003654D7" w:rsidP="00FF37E5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54D7" w:rsidRPr="00735AC3" w14:paraId="291E0344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0AF7A" w14:textId="77777777" w:rsidR="003654D7" w:rsidRPr="003654D7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Rok a měsíc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C0EC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54D7" w:rsidRPr="00735AC3" w14:paraId="01D7C92F" w14:textId="77777777" w:rsidTr="00FF37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6FFFE5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FD3D" w14:textId="77777777" w:rsidR="003654D7" w:rsidRPr="00735AC3" w:rsidRDefault="003654D7" w:rsidP="00FF37E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4"/>
      <w:bookmarkEnd w:id="5"/>
    </w:tbl>
    <w:p w14:paraId="5D2267CD" w14:textId="77777777" w:rsidR="007D4CBD" w:rsidRDefault="007D4CBD" w:rsidP="00C505D9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</w:p>
    <w:p w14:paraId="7131FD91" w14:textId="28B5AFB4" w:rsidR="00C505D9" w:rsidRPr="00735AC3" w:rsidRDefault="00C505D9" w:rsidP="00C505D9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735AC3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735AC3" w:rsidRPr="00735AC3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735AC3" w:rsidRPr="00735AC3" w14:paraId="6B09C022" w14:textId="77777777" w:rsidTr="00C56194">
        <w:tc>
          <w:tcPr>
            <w:tcW w:w="780" w:type="pct"/>
            <w:shd w:val="clear" w:color="auto" w:fill="auto"/>
            <w:vAlign w:val="center"/>
          </w:tcPr>
          <w:p w14:paraId="29EE13A6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2D748B1E" w14:textId="7E4AB962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k plnění veřejné zakázky </w:t>
            </w:r>
            <w:r w:rsidRPr="009C40C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nehodlá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využít poddodavatele, </w:t>
            </w:r>
            <w:proofErr w:type="gramStart"/>
            <w:r w:rsidRPr="00735AC3">
              <w:rPr>
                <w:rFonts w:ascii="Palatino Linotype" w:hAnsi="Palatino Linotype" w:cs="Arial"/>
                <w:sz w:val="20"/>
                <w:szCs w:val="20"/>
              </w:rPr>
              <w:t>tzn. že</w:t>
            </w:r>
            <w:proofErr w:type="gramEnd"/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 veškeré plnění tvořící předmět smlouvy se zavazuje realizovat vlastními silami</w:t>
            </w:r>
            <w:r w:rsidR="00E21906" w:rsidRPr="00735AC3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</w:tr>
      <w:tr w:rsidR="003E24ED" w:rsidRPr="00735AC3" w14:paraId="3BCD4A5E" w14:textId="77777777" w:rsidTr="00C56194">
        <w:tc>
          <w:tcPr>
            <w:tcW w:w="780" w:type="pct"/>
            <w:shd w:val="clear" w:color="auto" w:fill="auto"/>
          </w:tcPr>
          <w:p w14:paraId="701CC811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1B342DC9" w14:textId="13B6EB6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k plnění veřejné zakázky </w:t>
            </w:r>
            <w:r w:rsidRPr="009C40C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hodlá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 využít poddodavatele</w:t>
            </w:r>
            <w:r w:rsidR="00E21906" w:rsidRPr="00735AC3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</w:tr>
    </w:tbl>
    <w:p w14:paraId="4DAAC387" w14:textId="77777777" w:rsidR="003E24ED" w:rsidRPr="00735AC3" w:rsidRDefault="003E24ED" w:rsidP="003E24ED">
      <w:pPr>
        <w:autoSpaceDE w:val="0"/>
        <w:autoSpaceDN w:val="0"/>
        <w:adjustRightInd w:val="0"/>
        <w:spacing w:after="240"/>
        <w:rPr>
          <w:rFonts w:ascii="Palatino Linotype" w:hAnsi="Palatino Linotype" w:cs="Arial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735AC3" w:rsidRPr="00735AC3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735AC3" w:rsidRPr="00735AC3" w14:paraId="1893B749" w14:textId="77777777" w:rsidTr="00C56194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A242B08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2D920DA2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75EB3C24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5C6F1C00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09CCE5E4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5721CD54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6CEE250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77777777" w:rsidR="003E24ED" w:rsidRPr="00735AC3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735AC3" w:rsidRPr="00735AC3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35AC3" w:rsidRPr="00735AC3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18AA1A0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087C03CA" w14:textId="0E24C6BB" w:rsidR="003E24ED" w:rsidRPr="00735AC3" w:rsidRDefault="0034672E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eastAsia="Arial" w:hAnsi="Palatino Linotype" w:cs="Arial"/>
                <w:sz w:val="20"/>
                <w:szCs w:val="20"/>
              </w:rPr>
              <w:t xml:space="preserve">Jedná se o poddodavatele, který bude plnit více než 10 % hodnoty zakázky a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  <w:u w:val="single"/>
              </w:rPr>
              <w:t>současně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</w:rPr>
              <w:lastRenderedPageBreak/>
              <w:t>nařízení Rady (EU) 2022/576 ze dne 8.</w:t>
            </w:r>
            <w:r w:rsidR="0060135C">
              <w:rPr>
                <w:rFonts w:ascii="Palatino Linotype" w:eastAsia="Arial" w:hAnsi="Palatino Linotype" w:cs="Arial"/>
                <w:sz w:val="20"/>
                <w:szCs w:val="20"/>
              </w:rPr>
              <w:t xml:space="preserve">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</w:rPr>
              <w:t>dubna 2022, kterým se mění nařízení (EU) č. 833/2014 o omezujících opatřeních vzhledem k činnosti Ruska destabilizujícím situaci na Ukrajině</w:t>
            </w:r>
            <w:r w:rsidR="003E24ED" w:rsidRPr="00735AC3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="003E24ED" w:rsidRPr="00735AC3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735AC3" w:rsidRPr="00735AC3" w14:paraId="779CADBC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50B62B01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[ANO/NE]</w:t>
            </w:r>
          </w:p>
        </w:tc>
      </w:tr>
    </w:tbl>
    <w:p w14:paraId="260B085C" w14:textId="518534E3" w:rsidR="00C505D9" w:rsidRPr="00735AC3" w:rsidRDefault="00C505D9" w:rsidP="00C505D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Tabulku užije dodavatel tolikrát, kolik poddodavatelů hodlá př</w:t>
      </w:r>
      <w:r w:rsidR="00E21906" w:rsidRPr="00735AC3">
        <w:rPr>
          <w:rFonts w:ascii="Palatino Linotype" w:hAnsi="Palatino Linotype" w:cs="Arial"/>
          <w:sz w:val="20"/>
          <w:szCs w:val="20"/>
        </w:rPr>
        <w:t>i</w:t>
      </w:r>
      <w:r w:rsidRPr="00735AC3">
        <w:rPr>
          <w:rFonts w:ascii="Palatino Linotype" w:hAnsi="Palatino Linotype" w:cs="Arial"/>
          <w:sz w:val="20"/>
          <w:szCs w:val="20"/>
        </w:rPr>
        <w:t xml:space="preserve"> plnění veřejné zakázky využít.</w:t>
      </w:r>
    </w:p>
    <w:p w14:paraId="4EE9EA60" w14:textId="77777777" w:rsidR="00F7327E" w:rsidRPr="00107A9E" w:rsidRDefault="00F7327E" w:rsidP="00C21E2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rPr>
          <w:rFonts w:ascii="Palatino Linotype" w:hAnsi="Palatino Linotype" w:cs="Arial"/>
          <w:b/>
          <w:bCs/>
          <w:color w:val="FF0000"/>
          <w:sz w:val="24"/>
          <w:szCs w:val="24"/>
        </w:rPr>
      </w:pPr>
    </w:p>
    <w:p w14:paraId="1946C5C3" w14:textId="750313FC" w:rsidR="00C50EAC" w:rsidRPr="00735AC3" w:rsidRDefault="00D41A0E" w:rsidP="00D41A0E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35AC3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735AC3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</w:p>
    <w:p w14:paraId="12767771" w14:textId="77777777" w:rsidR="00C50EAC" w:rsidRPr="00735AC3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735AC3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735AC3">
        <w:rPr>
          <w:rFonts w:ascii="Palatino Linotype" w:hAnsi="Palatino Linotype"/>
          <w:vertAlign w:val="superscript"/>
        </w:rPr>
        <w:footnoteReference w:id="2"/>
      </w:r>
      <w:r w:rsidRPr="00735AC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735AC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735AC3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1D5CD4E3" w:rsidR="00C50EAC" w:rsidRPr="00735AC3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 w:rsidRPr="00735AC3">
        <w:rPr>
          <w:rFonts w:ascii="Palatino Linotype" w:hAnsi="Palatino Linotype" w:cs="Arial"/>
          <w:sz w:val="20"/>
          <w:szCs w:val="20"/>
        </w:rPr>
        <w:t>e</w:t>
      </w:r>
      <w:r w:rsidRPr="00735AC3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D6970DE" w14:textId="5D8481C7" w:rsidR="00C505D9" w:rsidRPr="00735AC3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735AC3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6" w:name="_Hlk94533199"/>
      <w:r w:rsidRPr="00735AC3">
        <w:rPr>
          <w:rFonts w:ascii="Palatino Linotype" w:hAnsi="Palatino Linotype" w:cs="Arial"/>
          <w:b/>
          <w:bCs/>
          <w:sz w:val="24"/>
          <w:szCs w:val="32"/>
        </w:rPr>
        <w:t xml:space="preserve">k sociálně odpovědnému plnění veřejné zakázky  </w:t>
      </w:r>
      <w:bookmarkEnd w:id="6"/>
    </w:p>
    <w:p w14:paraId="40D5B107" w14:textId="3773334A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bookmarkStart w:id="7" w:name="_Hlk94532486"/>
      <w:r w:rsidRPr="00735AC3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735AC3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735AC3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59836C68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735AC3">
        <w:rPr>
          <w:rFonts w:ascii="Palatino Linotype" w:hAnsi="Palatino Linotype"/>
          <w:sz w:val="20"/>
          <w:szCs w:val="20"/>
        </w:rPr>
        <w:lastRenderedPageBreak/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5347C097" w14:textId="535CF59A" w:rsidR="00D41A0E" w:rsidRPr="00735AC3" w:rsidRDefault="00D41A0E" w:rsidP="00846F38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8" w:name="_Hlk140570843"/>
      <w:bookmarkEnd w:id="7"/>
      <w:r w:rsidRPr="00735AC3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bookmarkEnd w:id="8"/>
    <w:p w14:paraId="4E09794A" w14:textId="1222A2A9" w:rsidR="005B73F6" w:rsidRPr="00735AC3" w:rsidRDefault="00D41A0E" w:rsidP="00F7327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717EB6" w:rsidRPr="00735AC3">
        <w:rPr>
          <w:rFonts w:ascii="Palatino Linotype" w:hAnsi="Palatino Linotype" w:cs="Arial"/>
          <w:sz w:val="20"/>
          <w:szCs w:val="20"/>
        </w:rPr>
        <w:t>2</w:t>
      </w:r>
      <w:r w:rsidRPr="00735AC3">
        <w:rPr>
          <w:rFonts w:ascii="Palatino Linotype" w:hAnsi="Palatino Linotype" w:cs="Arial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735AC3">
        <w:rPr>
          <w:rFonts w:ascii="Palatino Linotype" w:hAnsi="Palatino Linotype" w:cs="Arial"/>
          <w:sz w:val="20"/>
          <w:szCs w:val="20"/>
        </w:rPr>
        <w:t>2</w:t>
      </w:r>
      <w:r w:rsidRPr="00735AC3">
        <w:rPr>
          <w:rFonts w:ascii="Palatino Linotype" w:hAnsi="Palatino Linotype" w:cs="Arial"/>
          <w:sz w:val="20"/>
          <w:szCs w:val="20"/>
        </w:rPr>
        <w:t xml:space="preserve"> zadávacích podmínek, a zavazuje se, že v případě, že bude vybraným dodavatelem, smlouvu ve znění přílohy č. </w:t>
      </w:r>
      <w:r w:rsidR="00717EB6" w:rsidRPr="00735AC3">
        <w:rPr>
          <w:rFonts w:ascii="Palatino Linotype" w:hAnsi="Palatino Linotype" w:cs="Arial"/>
          <w:sz w:val="20"/>
          <w:szCs w:val="20"/>
        </w:rPr>
        <w:t>2</w:t>
      </w:r>
      <w:r w:rsidRPr="00735AC3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0C2E5126" w14:textId="77777777" w:rsidR="005B73F6" w:rsidRPr="00735AC3" w:rsidRDefault="005B73F6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49B3AB89" w14:textId="7BB51421" w:rsidR="00042689" w:rsidRPr="00735AC3" w:rsidRDefault="00042689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35AC3">
        <w:rPr>
          <w:rFonts w:ascii="Palatino Linotype" w:hAnsi="Palatino Linotype" w:cs="Arial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735AC3" w:rsidRDefault="00042689" w:rsidP="00042689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0CC88435" w14:textId="591AA9F5" w:rsidR="00042689" w:rsidRPr="00735AC3" w:rsidRDefault="00042689" w:rsidP="00042689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34F3BF9B" w14:textId="48D26DC6" w:rsidR="006D4E2B" w:rsidRPr="00735AC3" w:rsidRDefault="003B2724" w:rsidP="003B2724">
      <w:pPr>
        <w:pStyle w:val="Odstavecseseznamem"/>
        <w:tabs>
          <w:tab w:val="left" w:pos="3641"/>
        </w:tabs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ab/>
      </w:r>
    </w:p>
    <w:p w14:paraId="0D4CC0A1" w14:textId="1C67F134" w:rsidR="00AE08F8" w:rsidRPr="00735AC3" w:rsidRDefault="00AE08F8" w:rsidP="000654DA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35AC3">
        <w:rPr>
          <w:rFonts w:ascii="Palatino Linotype" w:hAnsi="Palatino Linotype" w:cs="Arial"/>
          <w:b/>
          <w:bCs/>
          <w:sz w:val="24"/>
          <w:szCs w:val="24"/>
        </w:rPr>
        <w:t>Prohlášení o velikosti podniku</w:t>
      </w:r>
    </w:p>
    <w:p w14:paraId="54868D72" w14:textId="77777777" w:rsidR="00AE08F8" w:rsidRPr="00735AC3" w:rsidRDefault="00AE08F8" w:rsidP="00AE08F8">
      <w:pPr>
        <w:pStyle w:val="Odstavecseseznamem"/>
        <w:rPr>
          <w:rFonts w:ascii="Palatino Linotype" w:hAnsi="Palatino Linotype" w:cs="Arial"/>
          <w:b/>
          <w:bCs/>
          <w:sz w:val="20"/>
          <w:szCs w:val="20"/>
        </w:rPr>
      </w:pPr>
    </w:p>
    <w:p w14:paraId="4D171852" w14:textId="005F9295" w:rsidR="00AE08F8" w:rsidRPr="00735AC3" w:rsidRDefault="00AE08F8" w:rsidP="00C21E26">
      <w:pPr>
        <w:pStyle w:val="Odstavecseseznamem"/>
        <w:spacing w:before="240" w:after="240"/>
        <w:ind w:left="0"/>
        <w:jc w:val="center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 xml:space="preserve">ve smyslu Doporučení Komise ze dne 6. května 2003 týkající se definice </w:t>
      </w:r>
      <w:proofErr w:type="spellStart"/>
      <w:r w:rsidRPr="00735AC3">
        <w:rPr>
          <w:rFonts w:ascii="Palatino Linotype" w:hAnsi="Palatino Linotype" w:cs="Arial"/>
          <w:sz w:val="20"/>
          <w:szCs w:val="20"/>
        </w:rPr>
        <w:t>mikropodniků</w:t>
      </w:r>
      <w:proofErr w:type="spellEnd"/>
      <w:r w:rsidRPr="00735AC3">
        <w:rPr>
          <w:rFonts w:ascii="Palatino Linotype" w:hAnsi="Palatino Linotype" w:cs="Arial"/>
          <w:sz w:val="20"/>
          <w:szCs w:val="20"/>
        </w:rPr>
        <w:t xml:space="preserve">, </w:t>
      </w:r>
      <w:r w:rsidRPr="00735AC3">
        <w:rPr>
          <w:rFonts w:ascii="Palatino Linotype" w:hAnsi="Palatino Linotype" w:cs="Arial"/>
          <w:sz w:val="20"/>
          <w:szCs w:val="20"/>
        </w:rPr>
        <w:br/>
        <w:t xml:space="preserve">malých a středních podniků (oznámeno pod číslem dokumentu C(2003) 1422) </w:t>
      </w:r>
      <w:r w:rsidRPr="00735AC3">
        <w:rPr>
          <w:rFonts w:ascii="Palatino Linotype" w:hAnsi="Palatino Linotype" w:cs="Arial"/>
          <w:sz w:val="20"/>
          <w:szCs w:val="20"/>
        </w:rPr>
        <w:br/>
        <w:t>(</w:t>
      </w:r>
      <w:proofErr w:type="spellStart"/>
      <w:r w:rsidRPr="00735AC3">
        <w:rPr>
          <w:rFonts w:ascii="Palatino Linotype" w:hAnsi="Palatino Linotype" w:cs="Arial"/>
          <w:sz w:val="20"/>
          <w:szCs w:val="20"/>
        </w:rPr>
        <w:t>Úř</w:t>
      </w:r>
      <w:proofErr w:type="spellEnd"/>
      <w:r w:rsidRPr="00735AC3">
        <w:rPr>
          <w:rFonts w:ascii="Palatino Linotype" w:hAnsi="Palatino Linotype" w:cs="Arial"/>
          <w:sz w:val="20"/>
          <w:szCs w:val="20"/>
        </w:rPr>
        <w:t xml:space="preserve">. </w:t>
      </w:r>
      <w:proofErr w:type="spellStart"/>
      <w:proofErr w:type="gramStart"/>
      <w:r w:rsidRPr="00735AC3">
        <w:rPr>
          <w:rFonts w:ascii="Palatino Linotype" w:hAnsi="Palatino Linotype" w:cs="Arial"/>
          <w:sz w:val="20"/>
          <w:szCs w:val="20"/>
        </w:rPr>
        <w:t>věst</w:t>
      </w:r>
      <w:proofErr w:type="spellEnd"/>
      <w:proofErr w:type="gramEnd"/>
      <w:r w:rsidRPr="00735AC3">
        <w:rPr>
          <w:rFonts w:ascii="Palatino Linotype" w:hAnsi="Palatino Linotype" w:cs="Arial"/>
          <w:sz w:val="20"/>
          <w:szCs w:val="20"/>
        </w:rPr>
        <w:t>. L 124, 20. 5. 2003, s. 36-41).</w:t>
      </w:r>
      <w:r w:rsidRPr="00735AC3">
        <w:rPr>
          <w:rStyle w:val="Znakapoznpodarou"/>
          <w:rFonts w:ascii="Palatino Linotype" w:hAnsi="Palatino Linotype" w:cs="Arial"/>
          <w:sz w:val="20"/>
          <w:szCs w:val="20"/>
        </w:rPr>
        <w:footnoteReference w:id="3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735AC3" w:rsidRPr="00735AC3" w14:paraId="29724B40" w14:textId="77777777" w:rsidTr="00A65E4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A0CD5CA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Dodavatel čestně prohlašuje, že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níže označí příslušnou možnost]</w:t>
            </w:r>
          </w:p>
        </w:tc>
      </w:tr>
      <w:tr w:rsidR="00735AC3" w:rsidRPr="00735AC3" w14:paraId="58CFC55B" w14:textId="77777777" w:rsidTr="009D3E37"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D97D1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142" w:type="pct"/>
            <w:tcBorders>
              <w:bottom w:val="single" w:sz="4" w:space="0" w:color="auto"/>
            </w:tcBorders>
            <w:shd w:val="clear" w:color="auto" w:fill="auto"/>
          </w:tcPr>
          <w:p w14:paraId="2475DDEE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  <w:u w:val="single"/>
              </w:rPr>
              <w:t>je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 malým či středním podnikem</w:t>
            </w:r>
          </w:p>
        </w:tc>
      </w:tr>
      <w:tr w:rsidR="00735AC3" w:rsidRPr="00735AC3" w14:paraId="5F7E309C" w14:textId="77777777" w:rsidTr="009D3E37"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</w:tcPr>
          <w:p w14:paraId="35D3225B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142" w:type="pct"/>
            <w:tcBorders>
              <w:bottom w:val="single" w:sz="4" w:space="0" w:color="auto"/>
            </w:tcBorders>
          </w:tcPr>
          <w:p w14:paraId="7FD9BEEB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  <w:u w:val="single"/>
              </w:rPr>
              <w:t>není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 malým či středním podnikem</w:t>
            </w:r>
          </w:p>
        </w:tc>
      </w:tr>
    </w:tbl>
    <w:p w14:paraId="6F1E551C" w14:textId="77777777" w:rsidR="00C21E26" w:rsidRPr="00735AC3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735AC3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4BF4082E" w14:textId="14F5A3A6" w:rsidR="00C21E26" w:rsidRPr="00735AC3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……………………</w:t>
      </w:r>
      <w:r w:rsidR="00C21E26" w:rsidRPr="00735AC3">
        <w:rPr>
          <w:rFonts w:ascii="Palatino Linotype" w:hAnsi="Palatino Linotype" w:cs="Arial"/>
          <w:sz w:val="20"/>
          <w:szCs w:val="20"/>
        </w:rPr>
        <w:t>.</w:t>
      </w:r>
    </w:p>
    <w:p w14:paraId="0073A3B8" w14:textId="5FFA6211" w:rsidR="00CB5F85" w:rsidRPr="00735AC3" w:rsidRDefault="00C50EAC" w:rsidP="00C21E26">
      <w:p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 w:rsidRPr="00735AC3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4"/>
      </w:r>
    </w:p>
    <w:sectPr w:rsidR="00CB5F85" w:rsidRPr="00735AC3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7226A8" w16cex:dateUtc="2025-11-25T09:24:00Z"/>
  <w16cex:commentExtensible w16cex:durableId="458AF1B9" w16cex:dateUtc="2025-11-25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2FC0C3" w16cid:durableId="147226A8"/>
  <w16cid:commentId w16cid:paraId="4C5217F3" w16cid:durableId="458AF1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A7EEC" w14:textId="77777777" w:rsidR="00DE5301" w:rsidRDefault="00DE5301" w:rsidP="002002D1">
      <w:pPr>
        <w:spacing w:after="0" w:line="240" w:lineRule="auto"/>
      </w:pPr>
      <w:r>
        <w:separator/>
      </w:r>
    </w:p>
  </w:endnote>
  <w:endnote w:type="continuationSeparator" w:id="0">
    <w:p w14:paraId="10A3E149" w14:textId="77777777" w:rsidR="00DE5301" w:rsidRDefault="00DE530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867863"/>
      <w:docPartObj>
        <w:docPartGallery w:val="Page Numbers (Bottom of Page)"/>
        <w:docPartUnique/>
      </w:docPartObj>
    </w:sdtPr>
    <w:sdtEndPr/>
    <w:sdtContent>
      <w:p w14:paraId="5A46E13E" w14:textId="4136452A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3AC">
          <w:rPr>
            <w:noProof/>
          </w:rPr>
          <w:t>6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7B5B2" w14:textId="77777777" w:rsidR="00DE5301" w:rsidRDefault="00DE5301" w:rsidP="002002D1">
      <w:pPr>
        <w:spacing w:after="0" w:line="240" w:lineRule="auto"/>
      </w:pPr>
      <w:r>
        <w:separator/>
      </w:r>
    </w:p>
  </w:footnote>
  <w:footnote w:type="continuationSeparator" w:id="0">
    <w:p w14:paraId="41E4F6A7" w14:textId="77777777" w:rsidR="00DE5301" w:rsidRDefault="00DE5301" w:rsidP="002002D1">
      <w:pPr>
        <w:spacing w:after="0" w:line="240" w:lineRule="auto"/>
      </w:pPr>
      <w:r>
        <w:continuationSeparator/>
      </w:r>
    </w:p>
  </w:footnote>
  <w:footnote w:id="1">
    <w:p w14:paraId="50C20679" w14:textId="3B2691D7" w:rsidR="003E24ED" w:rsidRPr="00ED3DA2" w:rsidRDefault="003E24ED" w:rsidP="003E24ED">
      <w:pPr>
        <w:pStyle w:val="Textpoznpodarou"/>
        <w:rPr>
          <w:rFonts w:ascii="Palatino Linotype" w:hAnsi="Palatino Linotype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D3DA2">
        <w:rPr>
          <w:rFonts w:ascii="Palatino Linotype" w:hAnsi="Palatino Linotype"/>
          <w:sz w:val="16"/>
          <w:szCs w:val="16"/>
        </w:rPr>
        <w:t xml:space="preserve">Ve vazbě na </w:t>
      </w:r>
      <w:hyperlink r:id="rId1" w:history="1">
        <w:r w:rsidRPr="00ED3DA2">
          <w:rPr>
            <w:rStyle w:val="Hypertextovodkaz"/>
            <w:rFonts w:ascii="Palatino Linotype" w:hAnsi="Palatino Linotype"/>
            <w:sz w:val="16"/>
            <w:szCs w:val="16"/>
          </w:rPr>
          <w:t>Nařízení Rady (EU) 2022/576</w:t>
        </w:r>
      </w:hyperlink>
      <w:r w:rsidRPr="00ED3DA2">
        <w:rPr>
          <w:rFonts w:ascii="Palatino Linotype" w:hAnsi="Palatino Linotype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</w:t>
      </w:r>
      <w:proofErr w:type="gramStart"/>
      <w:r w:rsidRPr="00ED3DA2">
        <w:rPr>
          <w:rFonts w:ascii="Palatino Linotype" w:hAnsi="Palatino Linotype"/>
          <w:b/>
          <w:bCs/>
          <w:sz w:val="16"/>
          <w:szCs w:val="16"/>
        </w:rPr>
        <w:t>viz. čl.</w:t>
      </w:r>
      <w:proofErr w:type="gramEnd"/>
      <w:r w:rsidRPr="00ED3DA2">
        <w:rPr>
          <w:rFonts w:ascii="Palatino Linotype" w:hAnsi="Palatino Linotype"/>
          <w:b/>
          <w:bCs/>
          <w:sz w:val="16"/>
          <w:szCs w:val="16"/>
        </w:rPr>
        <w:t xml:space="preserve"> </w:t>
      </w:r>
      <w:r w:rsidR="00D10A7C">
        <w:rPr>
          <w:rFonts w:ascii="Palatino Linotype" w:hAnsi="Palatino Linotype"/>
          <w:b/>
          <w:bCs/>
          <w:sz w:val="16"/>
          <w:szCs w:val="16"/>
        </w:rPr>
        <w:t>1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odst. </w:t>
      </w:r>
      <w:r w:rsidR="00D10A7C">
        <w:rPr>
          <w:rFonts w:ascii="Palatino Linotype" w:hAnsi="Palatino Linotype"/>
          <w:b/>
          <w:bCs/>
          <w:sz w:val="16"/>
          <w:szCs w:val="16"/>
        </w:rPr>
        <w:t>1.4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Výzvy k podání nabídek</w:t>
      </w:r>
      <w:r w:rsidRPr="00ED3DA2">
        <w:rPr>
          <w:rFonts w:ascii="Palatino Linotype" w:hAnsi="Palatino Linotype"/>
          <w:sz w:val="16"/>
          <w:szCs w:val="16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071BB89A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sz w:val="18"/>
          <w:szCs w:val="18"/>
          <w:vertAlign w:val="superscript"/>
        </w:rPr>
        <w:footnoteRef/>
      </w:r>
      <w:r w:rsidRPr="00FA19AA">
        <w:rPr>
          <w:rFonts w:ascii="Palatino Linotype" w:hAnsi="Palatino Linotype" w:cs="Arial"/>
          <w:sz w:val="18"/>
          <w:szCs w:val="18"/>
        </w:rPr>
        <w:t xml:space="preserve"> Doporučení Komise č. 2003/361/ES (EU) ze dne 6. května 2003, definuje podniky takto:</w:t>
      </w:r>
    </w:p>
    <w:p w14:paraId="4D859CF3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Mikro podnik</w:t>
      </w:r>
      <w:r w:rsidRPr="00FA19AA">
        <w:rPr>
          <w:rFonts w:ascii="Palatino Linotype" w:hAnsi="Palatino Linotype" w:cs="Arial"/>
          <w:sz w:val="18"/>
          <w:szCs w:val="18"/>
        </w:rPr>
        <w:t>: zaměstnává méně než 10 osob a jehož roční obrat nebo bilanční suma roční rozvahy nepřesahuje 2 mil. EUR.</w:t>
      </w:r>
    </w:p>
    <w:p w14:paraId="19E2E82D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Malý podnik</w:t>
      </w:r>
      <w:r w:rsidRPr="00FA19AA">
        <w:rPr>
          <w:rFonts w:ascii="Palatino Linotype" w:hAnsi="Palatino Linotype" w:cs="Arial"/>
          <w:sz w:val="18"/>
          <w:szCs w:val="18"/>
        </w:rPr>
        <w:t>: zaměstnává méně než 50 osob a jeho roční obrat nebo bilanční suma roční rozvahy nepřesahuje 10 mil. EUR.</w:t>
      </w:r>
    </w:p>
    <w:p w14:paraId="30F1CE48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Střední podnik</w:t>
      </w:r>
      <w:r w:rsidRPr="00FA19AA">
        <w:rPr>
          <w:rFonts w:ascii="Palatino Linotype" w:hAnsi="Palatino Linotype" w:cs="Arial"/>
          <w:sz w:val="18"/>
          <w:szCs w:val="18"/>
        </w:rPr>
        <w:t>: není mikro ani malým podnikem a zaměstnává méně než 250 osob a jeho roční obrat nepřesahuje 50 mil. EUR nebo jehož bilanční suma roční rozvahy nepřesahuje 43 mil. EUR.</w:t>
      </w:r>
    </w:p>
  </w:footnote>
  <w:footnote w:id="4">
    <w:p w14:paraId="573CC7E3" w14:textId="6ED9C557" w:rsidR="00D41A0E" w:rsidRPr="00FA19AA" w:rsidRDefault="00D41A0E" w:rsidP="00FA19AA">
      <w:pPr>
        <w:pStyle w:val="Textpoznpodarou"/>
        <w:keepLines/>
        <w:rPr>
          <w:rFonts w:ascii="Palatino Linotype" w:hAnsi="Palatino Linotype"/>
          <w:sz w:val="18"/>
          <w:szCs w:val="18"/>
        </w:rPr>
      </w:pPr>
      <w:r w:rsidRPr="00FA19AA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FA19AA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814E" w14:textId="4E273FF2" w:rsidR="00535601" w:rsidRPr="00DB5808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15DC2" w:rsidRPr="00DB5808">
      <w:rPr>
        <w:rFonts w:ascii="Palatino Linotype" w:hAnsi="Palatino Linotype" w:cs="Arial"/>
        <w:bCs/>
        <w:sz w:val="16"/>
      </w:rPr>
      <w:t>1</w:t>
    </w:r>
    <w:r w:rsidR="00DE61A8" w:rsidRPr="00DB5808">
      <w:rPr>
        <w:rFonts w:ascii="Palatino Linotype" w:hAnsi="Palatino Linotype" w:cs="Arial"/>
        <w:bCs/>
        <w:sz w:val="16"/>
      </w:rPr>
      <w:t xml:space="preserve"> </w:t>
    </w:r>
    <w:r w:rsidR="009A4AC0">
      <w:rPr>
        <w:rFonts w:ascii="Palatino Linotype" w:hAnsi="Palatino Linotype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1911AD"/>
    <w:multiLevelType w:val="hybridMultilevel"/>
    <w:tmpl w:val="7B4450D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CBF043B4">
      <w:start w:val="1"/>
      <w:numFmt w:val="lowerLetter"/>
      <w:lvlText w:val="%4)"/>
      <w:lvlJc w:val="left"/>
      <w:pPr>
        <w:ind w:left="4014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F03"/>
    <w:multiLevelType w:val="hybridMultilevel"/>
    <w:tmpl w:val="93662BCC"/>
    <w:lvl w:ilvl="0" w:tplc="C1EC2F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5536540"/>
    <w:multiLevelType w:val="hybridMultilevel"/>
    <w:tmpl w:val="247895CE"/>
    <w:lvl w:ilvl="0" w:tplc="7BD89510">
      <w:start w:val="1"/>
      <w:numFmt w:val="bullet"/>
      <w:lvlText w:val="-"/>
      <w:lvlJc w:val="left"/>
      <w:pPr>
        <w:ind w:left="1069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5C54D5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6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15DA8"/>
    <w:multiLevelType w:val="hybridMultilevel"/>
    <w:tmpl w:val="8B720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5801918"/>
    <w:multiLevelType w:val="hybridMultilevel"/>
    <w:tmpl w:val="C0B43842"/>
    <w:lvl w:ilvl="0" w:tplc="040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3428CA"/>
    <w:multiLevelType w:val="hybridMultilevel"/>
    <w:tmpl w:val="A9B28644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D592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2"/>
  </w:num>
  <w:num w:numId="3">
    <w:abstractNumId w:val="7"/>
  </w:num>
  <w:num w:numId="4">
    <w:abstractNumId w:val="15"/>
  </w:num>
  <w:num w:numId="5">
    <w:abstractNumId w:val="36"/>
  </w:num>
  <w:num w:numId="6">
    <w:abstractNumId w:val="35"/>
  </w:num>
  <w:num w:numId="7">
    <w:abstractNumId w:val="5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34"/>
  </w:num>
  <w:num w:numId="13">
    <w:abstractNumId w:val="33"/>
  </w:num>
  <w:num w:numId="14">
    <w:abstractNumId w:val="0"/>
  </w:num>
  <w:num w:numId="15">
    <w:abstractNumId w:val="38"/>
  </w:num>
  <w:num w:numId="16">
    <w:abstractNumId w:val="3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</w:num>
  <w:num w:numId="21">
    <w:abstractNumId w:val="3"/>
  </w:num>
  <w:num w:numId="22">
    <w:abstractNumId w:val="20"/>
  </w:num>
  <w:num w:numId="23">
    <w:abstractNumId w:val="17"/>
  </w:num>
  <w:num w:numId="24">
    <w:abstractNumId w:val="28"/>
  </w:num>
  <w:num w:numId="25">
    <w:abstractNumId w:val="21"/>
  </w:num>
  <w:num w:numId="26">
    <w:abstractNumId w:val="29"/>
  </w:num>
  <w:num w:numId="27">
    <w:abstractNumId w:val="37"/>
  </w:num>
  <w:num w:numId="28">
    <w:abstractNumId w:val="25"/>
  </w:num>
  <w:num w:numId="29">
    <w:abstractNumId w:val="22"/>
  </w:num>
  <w:num w:numId="30">
    <w:abstractNumId w:val="23"/>
  </w:num>
  <w:num w:numId="31">
    <w:abstractNumId w:val="24"/>
  </w:num>
  <w:num w:numId="32">
    <w:abstractNumId w:val="14"/>
  </w:num>
  <w:num w:numId="33">
    <w:abstractNumId w:val="30"/>
  </w:num>
  <w:num w:numId="34">
    <w:abstractNumId w:val="9"/>
  </w:num>
  <w:num w:numId="35">
    <w:abstractNumId w:val="18"/>
  </w:num>
  <w:num w:numId="36">
    <w:abstractNumId w:val="8"/>
  </w:num>
  <w:num w:numId="37">
    <w:abstractNumId w:val="26"/>
  </w:num>
  <w:num w:numId="38">
    <w:abstractNumId w:val="6"/>
  </w:num>
  <w:num w:numId="39">
    <w:abstractNumId w:val="31"/>
  </w:num>
  <w:num w:numId="40">
    <w:abstractNumId w:val="2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13E10"/>
    <w:rsid w:val="0001774B"/>
    <w:rsid w:val="00025F66"/>
    <w:rsid w:val="00042689"/>
    <w:rsid w:val="00057D2D"/>
    <w:rsid w:val="000654DA"/>
    <w:rsid w:val="000724C2"/>
    <w:rsid w:val="00081257"/>
    <w:rsid w:val="00081846"/>
    <w:rsid w:val="00083109"/>
    <w:rsid w:val="0009359A"/>
    <w:rsid w:val="000A4DF6"/>
    <w:rsid w:val="000D710D"/>
    <w:rsid w:val="001031CB"/>
    <w:rsid w:val="00105BFA"/>
    <w:rsid w:val="00106D2E"/>
    <w:rsid w:val="00107A9E"/>
    <w:rsid w:val="00156026"/>
    <w:rsid w:val="001579B1"/>
    <w:rsid w:val="00166124"/>
    <w:rsid w:val="001707B7"/>
    <w:rsid w:val="0018433B"/>
    <w:rsid w:val="0018777B"/>
    <w:rsid w:val="001907F0"/>
    <w:rsid w:val="001923B4"/>
    <w:rsid w:val="001A0B02"/>
    <w:rsid w:val="001B0C12"/>
    <w:rsid w:val="001B4CED"/>
    <w:rsid w:val="001B595C"/>
    <w:rsid w:val="001B6648"/>
    <w:rsid w:val="001C572D"/>
    <w:rsid w:val="001D5358"/>
    <w:rsid w:val="001D75A6"/>
    <w:rsid w:val="001D7B39"/>
    <w:rsid w:val="001E554C"/>
    <w:rsid w:val="002002D1"/>
    <w:rsid w:val="00215AA4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3B19"/>
    <w:rsid w:val="002C4D05"/>
    <w:rsid w:val="002D0CB0"/>
    <w:rsid w:val="002D411B"/>
    <w:rsid w:val="002E2AF1"/>
    <w:rsid w:val="002E53B4"/>
    <w:rsid w:val="002F28C1"/>
    <w:rsid w:val="002F5066"/>
    <w:rsid w:val="00304593"/>
    <w:rsid w:val="00311C50"/>
    <w:rsid w:val="00314783"/>
    <w:rsid w:val="003205F9"/>
    <w:rsid w:val="003352C9"/>
    <w:rsid w:val="003418E5"/>
    <w:rsid w:val="0034672E"/>
    <w:rsid w:val="003654D7"/>
    <w:rsid w:val="00375ED8"/>
    <w:rsid w:val="0038267D"/>
    <w:rsid w:val="003B2724"/>
    <w:rsid w:val="003B6A5F"/>
    <w:rsid w:val="003B6FFB"/>
    <w:rsid w:val="003D56BB"/>
    <w:rsid w:val="003E05B6"/>
    <w:rsid w:val="003E24ED"/>
    <w:rsid w:val="003F42D8"/>
    <w:rsid w:val="00405C94"/>
    <w:rsid w:val="00420897"/>
    <w:rsid w:val="0042601D"/>
    <w:rsid w:val="00431805"/>
    <w:rsid w:val="00440812"/>
    <w:rsid w:val="004413C3"/>
    <w:rsid w:val="00450F26"/>
    <w:rsid w:val="0046482C"/>
    <w:rsid w:val="004658DF"/>
    <w:rsid w:val="0046756A"/>
    <w:rsid w:val="0047263C"/>
    <w:rsid w:val="00476DDA"/>
    <w:rsid w:val="004853C2"/>
    <w:rsid w:val="00485A87"/>
    <w:rsid w:val="004864CE"/>
    <w:rsid w:val="004A1B8A"/>
    <w:rsid w:val="004A38B5"/>
    <w:rsid w:val="004A44CB"/>
    <w:rsid w:val="004C3C0C"/>
    <w:rsid w:val="004C3CA8"/>
    <w:rsid w:val="004C52B3"/>
    <w:rsid w:val="004C5B9C"/>
    <w:rsid w:val="004D7A76"/>
    <w:rsid w:val="004F26FB"/>
    <w:rsid w:val="00510899"/>
    <w:rsid w:val="0053062F"/>
    <w:rsid w:val="00530C79"/>
    <w:rsid w:val="00532311"/>
    <w:rsid w:val="00535601"/>
    <w:rsid w:val="00535C8F"/>
    <w:rsid w:val="005416A7"/>
    <w:rsid w:val="00541786"/>
    <w:rsid w:val="0055059B"/>
    <w:rsid w:val="00554011"/>
    <w:rsid w:val="00555ED1"/>
    <w:rsid w:val="0058256D"/>
    <w:rsid w:val="00585FCC"/>
    <w:rsid w:val="00594B91"/>
    <w:rsid w:val="005A071B"/>
    <w:rsid w:val="005B73F6"/>
    <w:rsid w:val="005C4B02"/>
    <w:rsid w:val="005C4E41"/>
    <w:rsid w:val="005D2EA5"/>
    <w:rsid w:val="005D3498"/>
    <w:rsid w:val="005D4AA2"/>
    <w:rsid w:val="005D6247"/>
    <w:rsid w:val="005E25CD"/>
    <w:rsid w:val="005E2A1D"/>
    <w:rsid w:val="0060135C"/>
    <w:rsid w:val="00612869"/>
    <w:rsid w:val="006363AD"/>
    <w:rsid w:val="006404F5"/>
    <w:rsid w:val="00640F13"/>
    <w:rsid w:val="00647F39"/>
    <w:rsid w:val="0066739E"/>
    <w:rsid w:val="006A5DCD"/>
    <w:rsid w:val="006D0DA8"/>
    <w:rsid w:val="006D4E2B"/>
    <w:rsid w:val="006F48EF"/>
    <w:rsid w:val="006F5A81"/>
    <w:rsid w:val="006F7A5C"/>
    <w:rsid w:val="006F7D5A"/>
    <w:rsid w:val="007034BF"/>
    <w:rsid w:val="007054C9"/>
    <w:rsid w:val="00710451"/>
    <w:rsid w:val="007132F6"/>
    <w:rsid w:val="00717312"/>
    <w:rsid w:val="00717EB6"/>
    <w:rsid w:val="00721319"/>
    <w:rsid w:val="0072305D"/>
    <w:rsid w:val="00735AC3"/>
    <w:rsid w:val="00742752"/>
    <w:rsid w:val="00743A79"/>
    <w:rsid w:val="00747581"/>
    <w:rsid w:val="00752C23"/>
    <w:rsid w:val="00765961"/>
    <w:rsid w:val="007705DD"/>
    <w:rsid w:val="00772608"/>
    <w:rsid w:val="00773C68"/>
    <w:rsid w:val="0078268D"/>
    <w:rsid w:val="00790F71"/>
    <w:rsid w:val="00795AA4"/>
    <w:rsid w:val="007A10ED"/>
    <w:rsid w:val="007B26A3"/>
    <w:rsid w:val="007C4888"/>
    <w:rsid w:val="007C4F6B"/>
    <w:rsid w:val="007D3679"/>
    <w:rsid w:val="007D3A71"/>
    <w:rsid w:val="007D3D1A"/>
    <w:rsid w:val="007D4CBD"/>
    <w:rsid w:val="007E0CD2"/>
    <w:rsid w:val="007E474B"/>
    <w:rsid w:val="007E639A"/>
    <w:rsid w:val="007F08B2"/>
    <w:rsid w:val="007F1340"/>
    <w:rsid w:val="0080016E"/>
    <w:rsid w:val="008002F2"/>
    <w:rsid w:val="008100EB"/>
    <w:rsid w:val="00810230"/>
    <w:rsid w:val="00811688"/>
    <w:rsid w:val="00813E58"/>
    <w:rsid w:val="008226B0"/>
    <w:rsid w:val="00824BF7"/>
    <w:rsid w:val="0082650C"/>
    <w:rsid w:val="00835540"/>
    <w:rsid w:val="00846F38"/>
    <w:rsid w:val="00865408"/>
    <w:rsid w:val="00866080"/>
    <w:rsid w:val="00871D13"/>
    <w:rsid w:val="008A7162"/>
    <w:rsid w:val="008B05D1"/>
    <w:rsid w:val="008B2E38"/>
    <w:rsid w:val="008C7356"/>
    <w:rsid w:val="008C75A6"/>
    <w:rsid w:val="008D2B5D"/>
    <w:rsid w:val="008D458F"/>
    <w:rsid w:val="008D47D4"/>
    <w:rsid w:val="008D5198"/>
    <w:rsid w:val="008D57F5"/>
    <w:rsid w:val="008E3C6A"/>
    <w:rsid w:val="008E7421"/>
    <w:rsid w:val="008F397A"/>
    <w:rsid w:val="00902649"/>
    <w:rsid w:val="00903F99"/>
    <w:rsid w:val="00910DFF"/>
    <w:rsid w:val="00923085"/>
    <w:rsid w:val="00931CF3"/>
    <w:rsid w:val="00935F3A"/>
    <w:rsid w:val="0094669B"/>
    <w:rsid w:val="00952891"/>
    <w:rsid w:val="0095681A"/>
    <w:rsid w:val="00972FE0"/>
    <w:rsid w:val="00976161"/>
    <w:rsid w:val="00980E46"/>
    <w:rsid w:val="00993B39"/>
    <w:rsid w:val="009A193D"/>
    <w:rsid w:val="009A4AC0"/>
    <w:rsid w:val="009A52FF"/>
    <w:rsid w:val="009A610B"/>
    <w:rsid w:val="009B0B84"/>
    <w:rsid w:val="009B6163"/>
    <w:rsid w:val="009C40C4"/>
    <w:rsid w:val="009D3E37"/>
    <w:rsid w:val="009E0727"/>
    <w:rsid w:val="009E1134"/>
    <w:rsid w:val="009E4542"/>
    <w:rsid w:val="009E4929"/>
    <w:rsid w:val="009F0981"/>
    <w:rsid w:val="009F1AF1"/>
    <w:rsid w:val="009F72B3"/>
    <w:rsid w:val="009F7FB5"/>
    <w:rsid w:val="00A03B08"/>
    <w:rsid w:val="00A04EE3"/>
    <w:rsid w:val="00A26A3E"/>
    <w:rsid w:val="00A30D68"/>
    <w:rsid w:val="00A4279A"/>
    <w:rsid w:val="00A563DD"/>
    <w:rsid w:val="00A62DCE"/>
    <w:rsid w:val="00A65597"/>
    <w:rsid w:val="00A65E48"/>
    <w:rsid w:val="00A71ED7"/>
    <w:rsid w:val="00A77525"/>
    <w:rsid w:val="00A91F1E"/>
    <w:rsid w:val="00A95D4C"/>
    <w:rsid w:val="00AA4DD7"/>
    <w:rsid w:val="00AA5718"/>
    <w:rsid w:val="00AB22BC"/>
    <w:rsid w:val="00AB5D11"/>
    <w:rsid w:val="00AB6CEE"/>
    <w:rsid w:val="00AB7EAB"/>
    <w:rsid w:val="00AD3DDA"/>
    <w:rsid w:val="00AE08F8"/>
    <w:rsid w:val="00AE5052"/>
    <w:rsid w:val="00AF4BFB"/>
    <w:rsid w:val="00AF616A"/>
    <w:rsid w:val="00B06759"/>
    <w:rsid w:val="00B07504"/>
    <w:rsid w:val="00B20D02"/>
    <w:rsid w:val="00B252AA"/>
    <w:rsid w:val="00B25D5A"/>
    <w:rsid w:val="00B275C4"/>
    <w:rsid w:val="00B33DD3"/>
    <w:rsid w:val="00B37081"/>
    <w:rsid w:val="00B372EC"/>
    <w:rsid w:val="00B40A5C"/>
    <w:rsid w:val="00B42DEC"/>
    <w:rsid w:val="00B55723"/>
    <w:rsid w:val="00B55945"/>
    <w:rsid w:val="00B65F1A"/>
    <w:rsid w:val="00B91D14"/>
    <w:rsid w:val="00B92E04"/>
    <w:rsid w:val="00B94166"/>
    <w:rsid w:val="00B979A4"/>
    <w:rsid w:val="00BA313D"/>
    <w:rsid w:val="00BA674F"/>
    <w:rsid w:val="00BA7FAF"/>
    <w:rsid w:val="00BC2CD5"/>
    <w:rsid w:val="00BC586B"/>
    <w:rsid w:val="00BD17CE"/>
    <w:rsid w:val="00BE3237"/>
    <w:rsid w:val="00BE33C2"/>
    <w:rsid w:val="00C02982"/>
    <w:rsid w:val="00C20C16"/>
    <w:rsid w:val="00C21E26"/>
    <w:rsid w:val="00C258C8"/>
    <w:rsid w:val="00C452D3"/>
    <w:rsid w:val="00C505D9"/>
    <w:rsid w:val="00C50EAC"/>
    <w:rsid w:val="00C53A54"/>
    <w:rsid w:val="00C5658A"/>
    <w:rsid w:val="00C65C2D"/>
    <w:rsid w:val="00C66DA3"/>
    <w:rsid w:val="00C67892"/>
    <w:rsid w:val="00C77EBE"/>
    <w:rsid w:val="00C85C99"/>
    <w:rsid w:val="00CB2EA2"/>
    <w:rsid w:val="00CB5F85"/>
    <w:rsid w:val="00CB6A93"/>
    <w:rsid w:val="00CC29FD"/>
    <w:rsid w:val="00CC60AF"/>
    <w:rsid w:val="00CD5C93"/>
    <w:rsid w:val="00CE3BE3"/>
    <w:rsid w:val="00D016E4"/>
    <w:rsid w:val="00D10A7C"/>
    <w:rsid w:val="00D14ECC"/>
    <w:rsid w:val="00D17040"/>
    <w:rsid w:val="00D32C92"/>
    <w:rsid w:val="00D358A3"/>
    <w:rsid w:val="00D36643"/>
    <w:rsid w:val="00D41A0E"/>
    <w:rsid w:val="00D42D56"/>
    <w:rsid w:val="00D445C9"/>
    <w:rsid w:val="00D55238"/>
    <w:rsid w:val="00D57592"/>
    <w:rsid w:val="00D6563D"/>
    <w:rsid w:val="00D66BAF"/>
    <w:rsid w:val="00D676D4"/>
    <w:rsid w:val="00D71F57"/>
    <w:rsid w:val="00D759FB"/>
    <w:rsid w:val="00D822AB"/>
    <w:rsid w:val="00D846AC"/>
    <w:rsid w:val="00D8680D"/>
    <w:rsid w:val="00DB3330"/>
    <w:rsid w:val="00DB5808"/>
    <w:rsid w:val="00DB6F59"/>
    <w:rsid w:val="00DD2A32"/>
    <w:rsid w:val="00DD6EC7"/>
    <w:rsid w:val="00DE5301"/>
    <w:rsid w:val="00DE5DED"/>
    <w:rsid w:val="00DE61A8"/>
    <w:rsid w:val="00DF1278"/>
    <w:rsid w:val="00DF7A87"/>
    <w:rsid w:val="00E1066F"/>
    <w:rsid w:val="00E168E9"/>
    <w:rsid w:val="00E20650"/>
    <w:rsid w:val="00E21906"/>
    <w:rsid w:val="00E53792"/>
    <w:rsid w:val="00E76680"/>
    <w:rsid w:val="00E83568"/>
    <w:rsid w:val="00E973D7"/>
    <w:rsid w:val="00EA577D"/>
    <w:rsid w:val="00EB27FA"/>
    <w:rsid w:val="00EB2BDF"/>
    <w:rsid w:val="00EB3751"/>
    <w:rsid w:val="00EB56D2"/>
    <w:rsid w:val="00EB61B6"/>
    <w:rsid w:val="00EC77F4"/>
    <w:rsid w:val="00EC7B20"/>
    <w:rsid w:val="00ED76F2"/>
    <w:rsid w:val="00EE6172"/>
    <w:rsid w:val="00EE61C7"/>
    <w:rsid w:val="00EF3687"/>
    <w:rsid w:val="00EF71BA"/>
    <w:rsid w:val="00F0477C"/>
    <w:rsid w:val="00F10CE5"/>
    <w:rsid w:val="00F150E9"/>
    <w:rsid w:val="00F15DC2"/>
    <w:rsid w:val="00F17AE6"/>
    <w:rsid w:val="00F3083D"/>
    <w:rsid w:val="00F31C49"/>
    <w:rsid w:val="00F32BCF"/>
    <w:rsid w:val="00F53C13"/>
    <w:rsid w:val="00F55A6B"/>
    <w:rsid w:val="00F56966"/>
    <w:rsid w:val="00F60F68"/>
    <w:rsid w:val="00F64846"/>
    <w:rsid w:val="00F70EDB"/>
    <w:rsid w:val="00F7327E"/>
    <w:rsid w:val="00F86835"/>
    <w:rsid w:val="00F9417E"/>
    <w:rsid w:val="00FA19AA"/>
    <w:rsid w:val="00FB07D0"/>
    <w:rsid w:val="00FC77ED"/>
    <w:rsid w:val="00FD366A"/>
    <w:rsid w:val="00FD43AC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59B"/>
  </w:style>
  <w:style w:type="paragraph" w:styleId="Nadpis2">
    <w:name w:val="heading 2"/>
    <w:basedOn w:val="Normln"/>
    <w:next w:val="Normln"/>
    <w:link w:val="Nadpis2Char"/>
    <w:qFormat/>
    <w:rsid w:val="00BA674F"/>
    <w:pPr>
      <w:keepNext/>
      <w:numPr>
        <w:ilvl w:val="1"/>
        <w:numId w:val="39"/>
      </w:numPr>
      <w:pBdr>
        <w:top w:val="nil"/>
        <w:left w:val="nil"/>
        <w:bottom w:val="nil"/>
        <w:right w:val="nil"/>
        <w:between w:val="nil"/>
      </w:pBdr>
      <w:tabs>
        <w:tab w:val="left" w:pos="1021"/>
      </w:tabs>
      <w:spacing w:before="240" w:after="120"/>
      <w:jc w:val="both"/>
      <w:outlineLvl w:val="1"/>
    </w:pPr>
    <w:rPr>
      <w:rFonts w:ascii="Arial" w:eastAsia="Calibri" w:hAnsi="Arial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NAKIT 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rsid w:val="008C7356"/>
  </w:style>
  <w:style w:type="character" w:customStyle="1" w:styleId="Zkladntext0">
    <w:name w:val="Základní text_"/>
    <w:basedOn w:val="Standardnpsmoodstavce"/>
    <w:link w:val="Zkladntext1"/>
    <w:rsid w:val="00F3083D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F3083D"/>
    <w:pPr>
      <w:widowControl w:val="0"/>
      <w:spacing w:after="120" w:line="360" w:lineRule="auto"/>
    </w:pPr>
    <w:rPr>
      <w:rFonts w:ascii="Arial" w:eastAsia="Arial" w:hAnsi="Arial" w:cs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A674F"/>
    <w:rPr>
      <w:rFonts w:ascii="Arial" w:eastAsia="Calibri" w:hAnsi="Arial" w:cs="Calibri"/>
      <w:b/>
      <w:color w:val="000000"/>
    </w:rPr>
  </w:style>
  <w:style w:type="paragraph" w:styleId="Revize">
    <w:name w:val="Revision"/>
    <w:hidden/>
    <w:uiPriority w:val="99"/>
    <w:semiHidden/>
    <w:rsid w:val="00A62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7D3EB-F286-42C9-ACD2-4277144E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1308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Kamil Zorvan</cp:lastModifiedBy>
  <cp:revision>4</cp:revision>
  <dcterms:created xsi:type="dcterms:W3CDTF">2025-11-25T18:48:00Z</dcterms:created>
  <dcterms:modified xsi:type="dcterms:W3CDTF">2025-11-27T12:55:00Z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