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14C7C6C8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8E1A38">
        <w:rPr>
          <w:rFonts w:ascii="Times New Roman" w:hAnsi="Times New Roman"/>
          <w:b/>
          <w:sz w:val="24"/>
          <w:szCs w:val="24"/>
        </w:rPr>
        <w:t>„</w:t>
      </w:r>
      <w:r w:rsidR="008E1A38" w:rsidRPr="008E1A38">
        <w:rPr>
          <w:rFonts w:ascii="Times New Roman" w:hAnsi="Times New Roman"/>
          <w:b/>
          <w:bCs/>
          <w:sz w:val="24"/>
          <w:szCs w:val="24"/>
        </w:rPr>
        <w:t>Most ev. č. 325-012 a ev. č. 28447-1 Horní Brusnice</w:t>
      </w:r>
      <w:r w:rsidR="005254AD" w:rsidRPr="008E1A38">
        <w:rPr>
          <w:rFonts w:ascii="Times New Roman" w:hAnsi="Times New Roman"/>
          <w:b/>
          <w:bCs/>
          <w:sz w:val="24"/>
          <w:szCs w:val="24"/>
        </w:rPr>
        <w:t>“</w:t>
      </w:r>
    </w:p>
    <w:p w14:paraId="2E1D2D8D" w14:textId="77DE500A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F0544C">
        <w:rPr>
          <w:rFonts w:ascii="Times New Roman" w:hAnsi="Times New Roman"/>
          <w:b/>
          <w:sz w:val="24"/>
        </w:rPr>
        <w:t>Obec Horní Brusnice</w:t>
      </w:r>
    </w:p>
    <w:p w14:paraId="30693DE2" w14:textId="657C6604" w:rsidR="00466078" w:rsidRDefault="00F0544C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Horní Brusnice 284, 544 74 Horní Brusnice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4760D94C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="008B4D2F">
        <w:rPr>
          <w:rFonts w:ascii="Times New Roman" w:hAnsi="Times New Roman"/>
          <w:b/>
          <w:lang w:val="cs-CZ"/>
        </w:rPr>
        <w:t xml:space="preserve">            </w:t>
      </w:r>
      <w:r w:rsidR="008B4D2F">
        <w:rPr>
          <w:rFonts w:ascii="Times New Roman" w:hAnsi="Times New Roman"/>
          <w:b/>
          <w:lang w:val="cs-CZ"/>
        </w:rPr>
        <w:tab/>
      </w:r>
      <w:r w:rsidR="008B4D2F">
        <w:rPr>
          <w:rFonts w:ascii="Times New Roman" w:hAnsi="Times New Roman"/>
          <w:b/>
          <w:lang w:val="cs-CZ"/>
        </w:rPr>
        <w:tab/>
      </w:r>
      <w:r w:rsidR="008B4D2F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597F737F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>:</w:t>
      </w:r>
      <w:r w:rsidR="008B4D2F">
        <w:t xml:space="preserve"> </w:t>
      </w:r>
      <w:r w:rsidR="008B4D2F">
        <w:rPr>
          <w:szCs w:val="24"/>
          <w:u w:val="single"/>
        </w:rPr>
        <w:t>V</w:t>
      </w:r>
      <w:r w:rsidR="00C464F5" w:rsidRPr="00B13926">
        <w:rPr>
          <w:szCs w:val="24"/>
          <w:u w:val="single"/>
        </w:rPr>
        <w:t>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4FAB131D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="008B4D2F" w:rsidRPr="008E1A38">
        <w:rPr>
          <w:rFonts w:ascii="Times New Roman" w:hAnsi="Times New Roman"/>
          <w:b/>
          <w:sz w:val="24"/>
          <w:szCs w:val="24"/>
        </w:rPr>
        <w:t>„</w:t>
      </w:r>
      <w:r w:rsidR="008B4D2F" w:rsidRPr="008E1A38">
        <w:rPr>
          <w:rFonts w:ascii="Times New Roman" w:hAnsi="Times New Roman"/>
          <w:b/>
          <w:bCs/>
          <w:sz w:val="24"/>
          <w:szCs w:val="24"/>
        </w:rPr>
        <w:t>Most ev. č. 325-012 a ev. č. 28447-1 Horní Brusnice“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106FB3CC" w:rsidR="000F6575" w:rsidRPr="008E6667" w:rsidRDefault="00F0544C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Obec Horní Brusnice</w:t>
            </w:r>
          </w:p>
          <w:p w14:paraId="35062096" w14:textId="369037FE" w:rsidR="00A96AB0" w:rsidRPr="008E6667" w:rsidRDefault="00F0544C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Horní Brusnice 284</w:t>
            </w:r>
          </w:p>
          <w:p w14:paraId="471CDE9A" w14:textId="585BD8B7" w:rsidR="00A96AB0" w:rsidRPr="008E6667" w:rsidRDefault="00F0544C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544 74 Horní Brusnice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773F2706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="008B4D2F">
              <w:rPr>
                <w:rFonts w:ascii="Times New Roman" w:hAnsi="Times New Roman"/>
                <w:szCs w:val="22"/>
              </w:rPr>
              <w:t>mosty a inženýrské konstrukce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632DED25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9A102E4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 w:rsidRPr="00F24069">
              <w:rPr>
                <w:rFonts w:ascii="Times New Roman" w:hAnsi="Times New Roman"/>
                <w:szCs w:val="22"/>
              </w:rPr>
              <w:t>Stavbyvedoucí</w:t>
            </w:r>
          </w:p>
          <w:p w14:paraId="5C1464F3" w14:textId="7D5A884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</w:t>
            </w:r>
            <w:r w:rsidRPr="008B4D2F">
              <w:rPr>
                <w:rFonts w:ascii="Times New Roman" w:hAnsi="Times New Roman"/>
                <w:szCs w:val="22"/>
              </w:rPr>
              <w:t xml:space="preserve">autorizace v oboru </w:t>
            </w:r>
            <w:r w:rsidR="008B4D2F">
              <w:rPr>
                <w:rFonts w:ascii="Times New Roman" w:hAnsi="Times New Roman"/>
                <w:szCs w:val="22"/>
              </w:rPr>
              <w:t>dopravní stavby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  <w:vMerge/>
          </w:tcPr>
          <w:p w14:paraId="1571A741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42A2E72" w14:textId="28667AE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6B55A556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FB4D56B" w14:textId="7E853CE3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</w:p>
          <w:p w14:paraId="585E877F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2144B058" w14:textId="587DDC48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CD0F40" w:rsidRPr="008E6667" w14:paraId="3CAADC68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5B0A95C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Obalovna</w:t>
            </w:r>
          </w:p>
          <w:p w14:paraId="45590C28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04343B45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842E2D1" w14:textId="77777777" w:rsidR="00CD0F40" w:rsidRPr="002E731A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………………………</w:t>
            </w:r>
          </w:p>
          <w:p w14:paraId="62D26649" w14:textId="39045F3E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6421E9">
              <w:rPr>
                <w:rFonts w:ascii="Times New Roman" w:hAnsi="Times New Roman"/>
                <w:iCs/>
                <w:szCs w:val="22"/>
                <w:highlight w:val="yellow"/>
              </w:rPr>
              <w:t>[konkrétní obalovnu doplní vybraný dodavatel před podpisem Smlouvy]</w:t>
            </w:r>
          </w:p>
        </w:tc>
      </w:tr>
      <w:tr w:rsidR="008A6214" w:rsidRPr="008E6667" w14:paraId="3B10D807" w14:textId="77777777" w:rsidTr="0082093B">
        <w:trPr>
          <w:trHeight w:val="556"/>
        </w:trPr>
        <w:tc>
          <w:tcPr>
            <w:tcW w:w="3510" w:type="dxa"/>
            <w:tcBorders>
              <w:bottom w:val="single" w:sz="4" w:space="0" w:color="auto"/>
            </w:tcBorders>
          </w:tcPr>
          <w:p w14:paraId="2DF36462" w14:textId="5342E94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F5AA36C" w14:textId="58093D44" w:rsidR="008A6214" w:rsidRPr="002E731A" w:rsidRDefault="00F0544C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Obec Horní Brusnice</w:t>
            </w:r>
          </w:p>
          <w:p w14:paraId="3A13A0CD" w14:textId="7AB05F5B" w:rsidR="00F0544C" w:rsidRDefault="00F0544C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Horní Brusnice 284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, </w:t>
            </w:r>
            <w:r>
              <w:rPr>
                <w:rFonts w:ascii="Times New Roman" w:hAnsi="Times New Roman"/>
                <w:szCs w:val="22"/>
              </w:rPr>
              <w:t>544 74 Horní Brusnice</w:t>
            </w:r>
            <w:r w:rsidR="008A6214" w:rsidRPr="002E731A">
              <w:rPr>
                <w:rFonts w:ascii="Times New Roman" w:hAnsi="Times New Roman"/>
                <w:szCs w:val="22"/>
              </w:rPr>
              <w:t>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005 81 038</w:t>
            </w:r>
          </w:p>
          <w:p w14:paraId="3AEEF5E9" w14:textId="77777777" w:rsidR="008202BD" w:rsidRPr="008E6667" w:rsidRDefault="008202BD" w:rsidP="008202BD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C5CC1E2" w14:textId="77777777" w:rsidR="008202BD" w:rsidRDefault="008202BD" w:rsidP="008202BD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 ………………….</w:t>
            </w:r>
          </w:p>
          <w:p w14:paraId="0D86FDEE" w14:textId="77777777" w:rsidR="008202BD" w:rsidRDefault="008202BD" w:rsidP="008202BD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EC84CA2" w14:textId="77777777" w:rsidR="008202BD" w:rsidRDefault="008202BD" w:rsidP="008202BD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B61FE2" w:rsidRPr="008E6667" w14:paraId="27CF2180" w14:textId="77777777" w:rsidTr="0082093B">
        <w:trPr>
          <w:trHeight w:val="325"/>
        </w:trPr>
        <w:tc>
          <w:tcPr>
            <w:tcW w:w="3510" w:type="dxa"/>
            <w:tcBorders>
              <w:bottom w:val="single" w:sz="4" w:space="0" w:color="auto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A6030" w:rsidRPr="008E6667" w14:paraId="2806D506" w14:textId="77777777" w:rsidTr="0082093B">
        <w:trPr>
          <w:trHeight w:val="32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045EE929" w14:textId="14CFD0B8" w:rsidR="00BA6030" w:rsidRPr="002E731A" w:rsidRDefault="00BA6030" w:rsidP="00BA6030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Doba pro dokončení Díla I. sekce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237414" w14:textId="0386D400" w:rsidR="00BA6030" w:rsidRPr="002E731A" w:rsidRDefault="00BA6030" w:rsidP="00BA6030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3290739" w14:textId="4D948AA5" w:rsidR="00BA6030" w:rsidRDefault="00BA6030" w:rsidP="00BA6030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16 týdnů od termínu určeného zadavatelem</w:t>
            </w:r>
          </w:p>
        </w:tc>
      </w:tr>
      <w:tr w:rsidR="00BA6030" w:rsidRPr="008E6667" w14:paraId="1B075301" w14:textId="77777777" w:rsidTr="0082093B">
        <w:trPr>
          <w:trHeight w:val="32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4575635F" w14:textId="176A3135" w:rsidR="00BA6030" w:rsidRPr="002E731A" w:rsidRDefault="00BA6030" w:rsidP="00BA6030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Doba pro dokončení Díla II. sekce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7204CF" w14:textId="5FEE7CD1" w:rsidR="00BA6030" w:rsidRPr="002E731A" w:rsidRDefault="00BA6030" w:rsidP="00BA6030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82F561D" w14:textId="743D1F83" w:rsidR="00BA6030" w:rsidRDefault="00BA6030" w:rsidP="00BA6030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30 týdnů od termínu určeného zadavatelem </w:t>
            </w:r>
          </w:p>
        </w:tc>
      </w:tr>
      <w:tr w:rsidR="006E2388" w:rsidRPr="008E6667" w14:paraId="5959CC17" w14:textId="77777777" w:rsidTr="0082093B">
        <w:tc>
          <w:tcPr>
            <w:tcW w:w="3510" w:type="dxa"/>
            <w:tcBorders>
              <w:top w:val="single" w:sz="4" w:space="0" w:color="auto"/>
            </w:tcBorders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461CC90D" w14:textId="705B7A61" w:rsidR="007C47C1" w:rsidRPr="009F3F48" w:rsidRDefault="003709F6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69160C" w:rsidRPr="008E6667" w14:paraId="3E04411E" w14:textId="77777777" w:rsidTr="008E6667">
        <w:tc>
          <w:tcPr>
            <w:tcW w:w="3510" w:type="dxa"/>
          </w:tcPr>
          <w:p w14:paraId="0DCB330E" w14:textId="71853481" w:rsidR="0069160C" w:rsidRPr="00BC0BD3" w:rsidRDefault="0069160C" w:rsidP="006916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Záruční </w:t>
            </w:r>
            <w:r w:rsidRPr="00C608BA">
              <w:rPr>
                <w:rFonts w:ascii="Times New Roman" w:hAnsi="Times New Roman"/>
                <w:b/>
              </w:rPr>
              <w:t xml:space="preserve">doba </w:t>
            </w:r>
            <w:r w:rsidRPr="00C608BA">
              <w:rPr>
                <w:rFonts w:ascii="Times New Roman" w:hAnsi="Times New Roman"/>
                <w:szCs w:val="22"/>
              </w:rPr>
              <w:t>na most (SO</w:t>
            </w:r>
            <w:r w:rsidR="00A650EC" w:rsidRPr="00C608BA">
              <w:rPr>
                <w:rFonts w:ascii="Times New Roman" w:hAnsi="Times New Roman"/>
                <w:szCs w:val="22"/>
              </w:rPr>
              <w:t xml:space="preserve"> 201 Most ev. č. 325-012, SO 201 Most ev. č. 28447-1</w:t>
            </w:r>
            <w:r w:rsidRPr="00C608BA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</w:tcPr>
          <w:p w14:paraId="47724879" w14:textId="0C79C709" w:rsidR="0069160C" w:rsidRPr="009F3F48" w:rsidRDefault="0069160C" w:rsidP="0069160C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1.1.3.7</w:t>
            </w:r>
            <w:r>
              <w:t xml:space="preserve"> </w:t>
            </w:r>
          </w:p>
        </w:tc>
        <w:tc>
          <w:tcPr>
            <w:tcW w:w="3969" w:type="dxa"/>
          </w:tcPr>
          <w:p w14:paraId="06532021" w14:textId="4C66793E" w:rsidR="0069160C" w:rsidRPr="009F3F48" w:rsidRDefault="008069D2" w:rsidP="0069160C">
            <w:pPr>
              <w:rPr>
                <w:rFonts w:ascii="Times New Roman" w:hAnsi="Times New Roman"/>
                <w:b/>
                <w:szCs w:val="22"/>
              </w:rPr>
            </w:pPr>
            <w:r w:rsidRPr="003709F6">
              <w:rPr>
                <w:rFonts w:ascii="Times New Roman" w:hAnsi="Times New Roman"/>
                <w:b/>
                <w:bCs/>
                <w:szCs w:val="22"/>
              </w:rPr>
              <w:t>120</w:t>
            </w:r>
            <w:r w:rsidRPr="003709F6">
              <w:rPr>
                <w:rFonts w:ascii="Times New Roman" w:hAnsi="Times New Roman"/>
                <w:b/>
                <w:bCs/>
              </w:rPr>
              <w:t xml:space="preserve"> </w:t>
            </w:r>
            <w:r w:rsidR="0069160C">
              <w:rPr>
                <w:rFonts w:ascii="Times New Roman" w:hAnsi="Times New Roman"/>
                <w:b/>
              </w:rPr>
              <w:t>měsíců</w:t>
            </w:r>
          </w:p>
        </w:tc>
      </w:tr>
      <w:tr w:rsidR="00B11F97" w:rsidRPr="008E6667" w14:paraId="11DC5D01" w14:textId="77777777" w:rsidTr="008E6667">
        <w:tc>
          <w:tcPr>
            <w:tcW w:w="3510" w:type="dxa"/>
          </w:tcPr>
          <w:p w14:paraId="40EB88BF" w14:textId="77777777" w:rsidR="00B11F97" w:rsidRDefault="00B11F97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Záruční doba na </w:t>
            </w:r>
            <w:r w:rsidR="0062339F">
              <w:rPr>
                <w:rFonts w:ascii="Times New Roman" w:hAnsi="Times New Roman"/>
                <w:szCs w:val="22"/>
              </w:rPr>
              <w:t xml:space="preserve">opravu </w:t>
            </w:r>
            <w:r>
              <w:rPr>
                <w:rFonts w:ascii="Times New Roman" w:hAnsi="Times New Roman"/>
                <w:szCs w:val="22"/>
              </w:rPr>
              <w:t>objízdn</w:t>
            </w:r>
            <w:r w:rsidR="0062339F">
              <w:rPr>
                <w:rFonts w:ascii="Times New Roman" w:hAnsi="Times New Roman"/>
                <w:szCs w:val="22"/>
              </w:rPr>
              <w:t>ých</w:t>
            </w:r>
            <w:r>
              <w:rPr>
                <w:rFonts w:ascii="Times New Roman" w:hAnsi="Times New Roman"/>
                <w:szCs w:val="22"/>
              </w:rPr>
              <w:t xml:space="preserve"> tras</w:t>
            </w:r>
          </w:p>
        </w:tc>
        <w:tc>
          <w:tcPr>
            <w:tcW w:w="1418" w:type="dxa"/>
          </w:tcPr>
          <w:p w14:paraId="26E9D949" w14:textId="77777777" w:rsidR="00B11F97" w:rsidRPr="009F3F48" w:rsidRDefault="00B11F97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74418D73" w14:textId="77777777" w:rsidR="00B11F97" w:rsidRPr="00C608BA" w:rsidRDefault="00B11F97" w:rsidP="00175711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C608BA">
              <w:rPr>
                <w:rFonts w:ascii="Times New Roman" w:hAnsi="Times New Roman"/>
                <w:b/>
                <w:bCs/>
                <w:szCs w:val="22"/>
              </w:rPr>
              <w:t>36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C608BA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E428" w14:textId="4F869542" w:rsidR="00106E28" w:rsidRDefault="00CB4344" w:rsidP="001072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I. </w:t>
            </w:r>
            <w:r w:rsidR="00D70D87">
              <w:rPr>
                <w:rFonts w:ascii="Times New Roman" w:hAnsi="Times New Roman"/>
              </w:rPr>
              <w:t>sekce – Most</w:t>
            </w:r>
            <w:r w:rsidR="00C608BA">
              <w:rPr>
                <w:rFonts w:ascii="Times New Roman" w:hAnsi="Times New Roman"/>
              </w:rPr>
              <w:t xml:space="preserve"> ev. č. 325-012</w:t>
            </w:r>
            <w:r w:rsidR="00106E28">
              <w:rPr>
                <w:rFonts w:ascii="Times New Roman" w:hAnsi="Times New Roman"/>
              </w:rPr>
              <w:t xml:space="preserve"> (zadavatel Královéhradecký kraj)</w:t>
            </w:r>
          </w:p>
          <w:p w14:paraId="277C3AA6" w14:textId="7C88C05E" w:rsidR="0000482B" w:rsidRPr="00BC0BD3" w:rsidRDefault="00CB4344" w:rsidP="001072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II. </w:t>
            </w:r>
            <w:r w:rsidR="00D70D87">
              <w:rPr>
                <w:rFonts w:ascii="Times New Roman" w:hAnsi="Times New Roman"/>
              </w:rPr>
              <w:t>sekce – Most</w:t>
            </w:r>
            <w:r w:rsidR="00106E28">
              <w:rPr>
                <w:rFonts w:ascii="Times New Roman" w:hAnsi="Times New Roman"/>
              </w:rPr>
              <w:t xml:space="preserve"> ev. č. 28447-01 (zadavatel Královéhradecký kraj a zadavatel obec Horní Brusnice)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5BB4BFA6" w:rsidR="0000482B" w:rsidRPr="002C66E6" w:rsidRDefault="0039358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Nepoužije se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45E52C3B" w:rsidR="0000482B" w:rsidRPr="002C66E6" w:rsidRDefault="0039358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Nepoužije se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03DEBA17" w:rsidR="0000482B" w:rsidRPr="00656F3D" w:rsidRDefault="00106E2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0,6 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lastRenderedPageBreak/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106E28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816AD0" w:rsidRDefault="001C12F7" w:rsidP="001C12F7">
            <w:pPr>
              <w:rPr>
                <w:rFonts w:ascii="Times New Roman" w:hAnsi="Times New Roman"/>
              </w:rPr>
            </w:pPr>
            <w:r w:rsidRPr="00816AD0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E731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106E28">
              <w:rPr>
                <w:rFonts w:ascii="Times New Roman" w:hAnsi="Times New Roman"/>
              </w:rPr>
              <w:t>hodnota násobitelů úpravy (Pnz a Pnd)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„all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Claimy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Zhotovitel je povinen předložit claim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(ii)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62113C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1" w:history="1">
              <w:r w:rsidRPr="0062113C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C(2003) 1422) (Úř. věst. L 124, 20. 5. 2003, s. 36–41).*</w:t>
            </w:r>
          </w:p>
        </w:tc>
      </w:tr>
    </w:tbl>
    <w:p w14:paraId="24ADF3F0" w14:textId="77777777" w:rsidR="0000482B" w:rsidRDefault="0000482B" w:rsidP="00D27EE1">
      <w:pPr>
        <w:pStyle w:val="Zkladntext2"/>
        <w:spacing w:before="240"/>
      </w:pPr>
    </w:p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(Claim).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2"/>
      <w:footerReference w:type="default" r:id="rId13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06E28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B16D9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1D58"/>
    <w:rsid w:val="0028659A"/>
    <w:rsid w:val="002941C1"/>
    <w:rsid w:val="002A02FD"/>
    <w:rsid w:val="002A19DC"/>
    <w:rsid w:val="002A2315"/>
    <w:rsid w:val="002B4143"/>
    <w:rsid w:val="002C2DB9"/>
    <w:rsid w:val="002C66E6"/>
    <w:rsid w:val="002D2D69"/>
    <w:rsid w:val="002E1926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709F6"/>
    <w:rsid w:val="003736B8"/>
    <w:rsid w:val="0037576D"/>
    <w:rsid w:val="0038594A"/>
    <w:rsid w:val="00393587"/>
    <w:rsid w:val="0039680D"/>
    <w:rsid w:val="003A21B3"/>
    <w:rsid w:val="003A4059"/>
    <w:rsid w:val="003A4FEA"/>
    <w:rsid w:val="003C4A6D"/>
    <w:rsid w:val="003D07E7"/>
    <w:rsid w:val="003D3AF2"/>
    <w:rsid w:val="003D43D5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113C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02BD"/>
    <w:rsid w:val="0082093B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966FA"/>
    <w:rsid w:val="008A3864"/>
    <w:rsid w:val="008A4038"/>
    <w:rsid w:val="008A6214"/>
    <w:rsid w:val="008A62EE"/>
    <w:rsid w:val="008B071D"/>
    <w:rsid w:val="008B38CC"/>
    <w:rsid w:val="008B4752"/>
    <w:rsid w:val="008B4D2F"/>
    <w:rsid w:val="008C0DC4"/>
    <w:rsid w:val="008D5624"/>
    <w:rsid w:val="008D5AD5"/>
    <w:rsid w:val="008D7524"/>
    <w:rsid w:val="008E0173"/>
    <w:rsid w:val="008E13AF"/>
    <w:rsid w:val="008E1A38"/>
    <w:rsid w:val="008E6667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4E89"/>
    <w:rsid w:val="00972245"/>
    <w:rsid w:val="009A6417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46F99"/>
    <w:rsid w:val="00A62D99"/>
    <w:rsid w:val="00A650EC"/>
    <w:rsid w:val="00A709F9"/>
    <w:rsid w:val="00A70A95"/>
    <w:rsid w:val="00A723F2"/>
    <w:rsid w:val="00A80B53"/>
    <w:rsid w:val="00A81C2D"/>
    <w:rsid w:val="00A96AB0"/>
    <w:rsid w:val="00A97ED1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A0CCB"/>
    <w:rsid w:val="00BA5BA6"/>
    <w:rsid w:val="00BA6030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257"/>
    <w:rsid w:val="00C57715"/>
    <w:rsid w:val="00C608BA"/>
    <w:rsid w:val="00C62876"/>
    <w:rsid w:val="00C634CB"/>
    <w:rsid w:val="00CB1F70"/>
    <w:rsid w:val="00CB429F"/>
    <w:rsid w:val="00CB4344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70D87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68FA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544C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ur-lex.europa.eu/legal-content/CS/AUTO/?uri=celex:32003H036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1457</Words>
  <Characters>8551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Kateřina Morávková</cp:lastModifiedBy>
  <cp:revision>18</cp:revision>
  <cp:lastPrinted>2016-07-27T08:59:00Z</cp:lastPrinted>
  <dcterms:created xsi:type="dcterms:W3CDTF">2025-08-27T09:07:00Z</dcterms:created>
  <dcterms:modified xsi:type="dcterms:W3CDTF">2025-12-17T12:15:00Z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