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CDEA5C4" w:rsidR="00A30FBD" w:rsidRPr="00542A76" w:rsidRDefault="001F3BB7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3BB7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SŠSE Nová Paka - </w:t>
            </w:r>
            <w:proofErr w:type="spellStart"/>
            <w:r w:rsidRPr="001F3BB7">
              <w:rPr>
                <w:rFonts w:ascii="Arial" w:hAnsi="Arial" w:cs="Arial"/>
                <w:b/>
                <w:sz w:val="20"/>
                <w:szCs w:val="20"/>
              </w:rPr>
              <w:t>Kumburská</w:t>
            </w:r>
            <w:proofErr w:type="spellEnd"/>
            <w:r w:rsidRPr="001F3BB7">
              <w:rPr>
                <w:rFonts w:ascii="Arial" w:hAnsi="Arial" w:cs="Arial"/>
                <w:b/>
                <w:sz w:val="20"/>
                <w:szCs w:val="20"/>
              </w:rPr>
              <w:t xml:space="preserve"> 846 </w:t>
            </w:r>
            <w:r w:rsidR="00756C0F" w:rsidRPr="00756C0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6C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54F6" w:rsidRPr="00A854F6">
              <w:rPr>
                <w:rFonts w:ascii="Arial" w:hAnsi="Arial" w:cs="Arial"/>
                <w:b/>
                <w:sz w:val="20"/>
                <w:szCs w:val="20"/>
              </w:rPr>
              <w:t>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0F2E6C" w:rsidR="00A30FBD" w:rsidRPr="00542A76" w:rsidRDefault="00A854F6" w:rsidP="00A854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854F6">
              <w:rPr>
                <w:rFonts w:ascii="Arial" w:hAnsi="Arial" w:cs="Arial"/>
                <w:sz w:val="20"/>
                <w:szCs w:val="20"/>
              </w:rPr>
              <w:t>Střední</w:t>
            </w:r>
            <w:r w:rsidR="001F3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BB7" w:rsidRPr="001F3BB7">
              <w:rPr>
                <w:rFonts w:ascii="Arial" w:hAnsi="Arial" w:cs="Arial"/>
                <w:sz w:val="20"/>
                <w:szCs w:val="20"/>
              </w:rPr>
              <w:t>škola strojírenská a elektrotechnická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  <w:r w:rsidR="001F3B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BB7" w:rsidRPr="001F3BB7">
              <w:rPr>
                <w:rFonts w:ascii="Arial" w:hAnsi="Arial" w:cs="Arial"/>
                <w:sz w:val="20"/>
                <w:szCs w:val="20"/>
              </w:rPr>
              <w:t>06668151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proofErr w:type="spellStart"/>
            <w:r w:rsidR="001F3BB7" w:rsidRPr="001F3BB7">
              <w:rPr>
                <w:rFonts w:ascii="Arial" w:hAnsi="Arial" w:cs="Arial"/>
                <w:sz w:val="20"/>
                <w:szCs w:val="20"/>
              </w:rPr>
              <w:t>Kumburská</w:t>
            </w:r>
            <w:proofErr w:type="spellEnd"/>
            <w:r w:rsidR="001F3BB7" w:rsidRPr="001F3BB7">
              <w:rPr>
                <w:rFonts w:ascii="Arial" w:hAnsi="Arial" w:cs="Arial"/>
                <w:sz w:val="20"/>
                <w:szCs w:val="20"/>
              </w:rPr>
              <w:t xml:space="preserve"> 846, 509 01 Nová Paka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4F56B8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2C27F8B6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</w:t>
      </w:r>
      <w:r w:rsidR="00CF4129">
        <w:rPr>
          <w:rFonts w:ascii="Arial" w:hAnsi="Arial" w:cs="Arial"/>
          <w:sz w:val="20"/>
        </w:rPr>
        <w:br/>
      </w:r>
      <w:r w:rsidR="00F46C8A" w:rsidRPr="00010BE1">
        <w:rPr>
          <w:rFonts w:ascii="Arial" w:hAnsi="Arial" w:cs="Arial"/>
          <w:sz w:val="20"/>
        </w:rPr>
        <w:t xml:space="preserve">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60"/>
        <w:gridCol w:w="4385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616B" w14:paraId="1960D980" w14:textId="77777777" w:rsidTr="00F445C7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F111" w14:textId="1E83B1DF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EBE" w14:textId="3D4B77A0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2015">
              <w:rPr>
                <w:rFonts w:ascii="Arial" w:hAnsi="Arial" w:cs="Arial"/>
                <w:sz w:val="20"/>
                <w:szCs w:val="20"/>
              </w:rPr>
              <w:t>svědčení o autorizaci</w:t>
            </w:r>
          </w:p>
        </w:tc>
      </w:tr>
    </w:tbl>
    <w:p w14:paraId="5D25065D" w14:textId="77777777" w:rsidR="0010616B" w:rsidRDefault="001061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346D38B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92023B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4807D899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1F3BB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F3BB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8AB" w:rsidRPr="00723145" w14:paraId="095B94E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DA31E" w14:textId="64CEB68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6A8F81AA" w14:textId="624790EF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43" w14:textId="77777777" w:rsidR="000E48AB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E6E5264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964C5" w:rsidRPr="00723145" w14:paraId="57E2E1E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708BF" w14:textId="44CDE930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D73" w14:textId="05FE68CF" w:rsidR="007964C5" w:rsidRPr="007964C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30367E2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AEBA3" w14:textId="510A5308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066" w14:textId="3E3AA2CC" w:rsidR="007964C5" w:rsidRPr="0072314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1F3BB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E50D7" w14:textId="2B13400B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6EC8C26C" w14:textId="312025B1" w:rsidR="000724C2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63545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F3BB7" w:rsidRPr="00723145" w14:paraId="0AAF561F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07133BD" w14:textId="672072B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4BB69AF8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62DDCCF1" w14:textId="33013603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2A8A50B0" w14:textId="720C1A0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7964C5" w:rsidRPr="00723145" w14:paraId="4F47C754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8AE9992" w14:textId="1C0E4400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C18" w14:textId="1805ECE4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72B8BE2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DE82D89" w14:textId="21728E6B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E35" w14:textId="6E07A1D2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025E2BA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550897D" w14:textId="7590043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7B7E2C02" w14:textId="0DB76ABD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1F3BB7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1F3BB7" w:rsidRPr="001D71F0" w:rsidRDefault="001F3BB7" w:rsidP="001F3BB7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F3BB7" w:rsidRPr="00723145" w14:paraId="5E7DCF8D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96C3DB0" w14:textId="50867E78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služby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1A0CB9AD" w:rsidR="007964C5" w:rsidRDefault="007D7D78" w:rsidP="0092023B">
      <w:pPr>
        <w:spacing w:before="24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92023B">
        <w:rPr>
          <w:rFonts w:ascii="Arial" w:eastAsia="Arial" w:hAnsi="Arial" w:cs="Arial"/>
          <w:color w:val="0070C0"/>
          <w:sz w:val="20"/>
          <w:szCs w:val="20"/>
        </w:rPr>
        <w:t>služeb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753BD3F9" w14:textId="77777777" w:rsidR="007964C5" w:rsidRDefault="007964C5">
      <w:pP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br w:type="page"/>
      </w:r>
    </w:p>
    <w:p w14:paraId="1946C5C3" w14:textId="1137013D" w:rsidR="00C50EAC" w:rsidRPr="00C50EAC" w:rsidRDefault="00C50EAC" w:rsidP="00C6354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3838D3">
      <w:pPr>
        <w:pStyle w:val="paragraph"/>
        <w:widowControl w:val="0"/>
        <w:numPr>
          <w:ilvl w:val="0"/>
          <w:numId w:val="24"/>
        </w:numPr>
        <w:spacing w:after="120"/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120"/>
        <w:ind w:left="2568" w:hanging="357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511E12C0" w14:textId="22F68A97" w:rsidR="0049630B" w:rsidRDefault="0087086D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086D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bookmarkStart w:id="4" w:name="_Hlk210736557"/>
      <w:r w:rsidRPr="0087086D">
        <w:rPr>
          <w:rFonts w:ascii="Arial" w:hAnsi="Arial" w:cs="Arial"/>
          <w:b/>
          <w:sz w:val="20"/>
          <w:szCs w:val="20"/>
        </w:rPr>
        <w:t xml:space="preserve">SŠSE Nová Paka - </w:t>
      </w:r>
      <w:proofErr w:type="spellStart"/>
      <w:r w:rsidRPr="0087086D">
        <w:rPr>
          <w:rFonts w:ascii="Arial" w:hAnsi="Arial" w:cs="Arial"/>
          <w:b/>
          <w:sz w:val="20"/>
          <w:szCs w:val="20"/>
        </w:rPr>
        <w:t>Kumburská</w:t>
      </w:r>
      <w:proofErr w:type="spellEnd"/>
      <w:r w:rsidRPr="0087086D">
        <w:rPr>
          <w:rFonts w:ascii="Arial" w:hAnsi="Arial" w:cs="Arial"/>
          <w:b/>
          <w:sz w:val="20"/>
          <w:szCs w:val="20"/>
        </w:rPr>
        <w:t xml:space="preserve"> 846</w:t>
      </w:r>
    </w:p>
    <w:bookmarkEnd w:id="4"/>
    <w:p w14:paraId="3A6B71E1" w14:textId="77777777" w:rsidR="0087086D" w:rsidRPr="004711A3" w:rsidRDefault="0087086D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52B8D16B" w:rsidR="006B4FC1" w:rsidRPr="004711A3" w:rsidRDefault="00E04D59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E04D59">
        <w:rPr>
          <w:rFonts w:ascii="Arial" w:hAnsi="Arial" w:cs="Arial"/>
          <w:b/>
          <w:sz w:val="20"/>
          <w:szCs w:val="20"/>
        </w:rPr>
        <w:t xml:space="preserve">Snížení energetické náročnosti </w:t>
      </w:r>
      <w:r w:rsidR="0087086D" w:rsidRPr="0087086D">
        <w:rPr>
          <w:rFonts w:ascii="Arial" w:hAnsi="Arial" w:cs="Arial"/>
          <w:b/>
          <w:sz w:val="20"/>
          <w:szCs w:val="20"/>
        </w:rPr>
        <w:t xml:space="preserve">SŠSE Nová Paka - </w:t>
      </w:r>
      <w:proofErr w:type="spellStart"/>
      <w:r w:rsidR="0087086D" w:rsidRPr="0087086D">
        <w:rPr>
          <w:rFonts w:ascii="Arial" w:hAnsi="Arial" w:cs="Arial"/>
          <w:b/>
          <w:sz w:val="20"/>
          <w:szCs w:val="20"/>
        </w:rPr>
        <w:t>Kumburská</w:t>
      </w:r>
      <w:proofErr w:type="spellEnd"/>
      <w:r w:rsidR="0087086D" w:rsidRPr="0087086D">
        <w:rPr>
          <w:rFonts w:ascii="Arial" w:hAnsi="Arial" w:cs="Arial"/>
          <w:b/>
          <w:sz w:val="20"/>
          <w:szCs w:val="20"/>
        </w:rPr>
        <w:t xml:space="preserve"> 846</w:t>
      </w:r>
      <w:r w:rsidR="0087086D">
        <w:rPr>
          <w:rFonts w:ascii="Arial" w:hAnsi="Arial" w:cs="Arial"/>
          <w:b/>
          <w:sz w:val="20"/>
          <w:szCs w:val="20"/>
        </w:rPr>
        <w:t xml:space="preserve"> </w:t>
      </w:r>
      <w:r w:rsidR="0056087F" w:rsidRPr="0056087F">
        <w:rPr>
          <w:rFonts w:ascii="Arial" w:hAnsi="Arial" w:cs="Arial"/>
          <w:b/>
          <w:sz w:val="20"/>
          <w:szCs w:val="20"/>
        </w:rPr>
        <w:t>–</w:t>
      </w:r>
      <w:r w:rsidR="0056087F">
        <w:rPr>
          <w:rFonts w:ascii="Arial" w:hAnsi="Arial" w:cs="Arial"/>
          <w:b/>
          <w:sz w:val="20"/>
          <w:szCs w:val="20"/>
        </w:rPr>
        <w:t xml:space="preserve"> </w:t>
      </w:r>
      <w:r w:rsidR="00980790" w:rsidRPr="00980790">
        <w:rPr>
          <w:rFonts w:ascii="Arial" w:hAnsi="Arial" w:cs="Arial"/>
          <w:b/>
          <w:sz w:val="20"/>
          <w:szCs w:val="20"/>
        </w:rPr>
        <w:t>zpracování PD, EP, ZCHDZ</w:t>
      </w:r>
      <w:r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4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648EF6D" w14:textId="7042A701" w:rsidR="00BA32BF" w:rsidRDefault="00BA32BF" w:rsidP="0047463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23"/>
        <w:gridCol w:w="1732"/>
        <w:gridCol w:w="6789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980790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53330C4B" w14:textId="77777777" w:rsidR="00474637" w:rsidRPr="00206211" w:rsidRDefault="00474637" w:rsidP="0047463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86B6DD7" w14:textId="77777777" w:rsidR="00474637" w:rsidRPr="00206211" w:rsidRDefault="00474637" w:rsidP="0047463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7C61ADB7" w14:textId="77777777" w:rsidR="00474637" w:rsidRDefault="00474637" w:rsidP="004746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0574216D" w14:textId="77777777" w:rsidR="00474637" w:rsidRPr="00CB5F85" w:rsidRDefault="00474637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474637" w:rsidRPr="00CB5F85" w:rsidSect="00474637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2A779CF3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2">
    <w:p w14:paraId="6A538718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2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3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5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2BBB8D70" w:rsidR="00A30FBD" w:rsidRDefault="00474637">
    <w:pPr>
      <w:pStyle w:val="Zhlav"/>
    </w:pPr>
    <w:r>
      <w:t>Příloha č. 1 ZD</w:t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59264" behindDoc="0" locked="0" layoutInCell="1" allowOverlap="1" wp14:anchorId="315174B7" wp14:editId="504541D6">
          <wp:simplePos x="0" y="0"/>
          <wp:positionH relativeFrom="column">
            <wp:posOffset>552450</wp:posOffset>
          </wp:positionH>
          <wp:positionV relativeFrom="paragraph">
            <wp:posOffset>218440</wp:posOffset>
          </wp:positionV>
          <wp:extent cx="1764665" cy="456565"/>
          <wp:effectExtent l="0" t="0" r="0" b="635"/>
          <wp:wrapTopAndBottom/>
          <wp:docPr id="17757770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61312" behindDoc="0" locked="0" layoutInCell="1" allowOverlap="1" wp14:anchorId="3FEA86A8" wp14:editId="6CE5C2B7">
          <wp:simplePos x="0" y="0"/>
          <wp:positionH relativeFrom="column">
            <wp:posOffset>3143250</wp:posOffset>
          </wp:positionH>
          <wp:positionV relativeFrom="paragraph">
            <wp:posOffset>198755</wp:posOffset>
          </wp:positionV>
          <wp:extent cx="1590040" cy="564515"/>
          <wp:effectExtent l="0" t="0" r="0" b="0"/>
          <wp:wrapSquare wrapText="bothSides"/>
          <wp:docPr id="5801691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50" b="33277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776B2" w14:textId="7436CE0D" w:rsidR="00A30FBD" w:rsidRDefault="00A30F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48AB"/>
    <w:rsid w:val="000E7B7A"/>
    <w:rsid w:val="0010616B"/>
    <w:rsid w:val="00106D2E"/>
    <w:rsid w:val="001104B5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1F3BB7"/>
    <w:rsid w:val="002002D1"/>
    <w:rsid w:val="00207554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838D3"/>
    <w:rsid w:val="00391AA2"/>
    <w:rsid w:val="003A27DF"/>
    <w:rsid w:val="003B3E5A"/>
    <w:rsid w:val="003B6A5F"/>
    <w:rsid w:val="003C6047"/>
    <w:rsid w:val="003E2594"/>
    <w:rsid w:val="003E4E79"/>
    <w:rsid w:val="003F3C77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74637"/>
    <w:rsid w:val="004853C2"/>
    <w:rsid w:val="00485A87"/>
    <w:rsid w:val="0049630B"/>
    <w:rsid w:val="004A6FE3"/>
    <w:rsid w:val="004C3CA8"/>
    <w:rsid w:val="004C5B9C"/>
    <w:rsid w:val="004D7A76"/>
    <w:rsid w:val="004F56B8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6087F"/>
    <w:rsid w:val="0058256D"/>
    <w:rsid w:val="00585FCC"/>
    <w:rsid w:val="005A071B"/>
    <w:rsid w:val="005A206A"/>
    <w:rsid w:val="005C12CB"/>
    <w:rsid w:val="005D6247"/>
    <w:rsid w:val="005E2A1D"/>
    <w:rsid w:val="005E5221"/>
    <w:rsid w:val="00605332"/>
    <w:rsid w:val="00612869"/>
    <w:rsid w:val="00647F39"/>
    <w:rsid w:val="00650036"/>
    <w:rsid w:val="00657836"/>
    <w:rsid w:val="0066739E"/>
    <w:rsid w:val="0067062D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56C0F"/>
    <w:rsid w:val="00766A85"/>
    <w:rsid w:val="00772608"/>
    <w:rsid w:val="00783FC5"/>
    <w:rsid w:val="00795AA4"/>
    <w:rsid w:val="007964C5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2101"/>
    <w:rsid w:val="007E474B"/>
    <w:rsid w:val="007E639A"/>
    <w:rsid w:val="007E6F70"/>
    <w:rsid w:val="007F08B2"/>
    <w:rsid w:val="00810230"/>
    <w:rsid w:val="00813E58"/>
    <w:rsid w:val="00865408"/>
    <w:rsid w:val="00866080"/>
    <w:rsid w:val="0087086D"/>
    <w:rsid w:val="008754FA"/>
    <w:rsid w:val="0089365E"/>
    <w:rsid w:val="008A1E35"/>
    <w:rsid w:val="008A6E4F"/>
    <w:rsid w:val="008A7162"/>
    <w:rsid w:val="008B05D1"/>
    <w:rsid w:val="008B2299"/>
    <w:rsid w:val="008C54A4"/>
    <w:rsid w:val="008C69E0"/>
    <w:rsid w:val="008D47D4"/>
    <w:rsid w:val="008E6671"/>
    <w:rsid w:val="00902649"/>
    <w:rsid w:val="00903F99"/>
    <w:rsid w:val="00913C74"/>
    <w:rsid w:val="00920236"/>
    <w:rsid w:val="0092023B"/>
    <w:rsid w:val="00923085"/>
    <w:rsid w:val="00935F3A"/>
    <w:rsid w:val="0096060F"/>
    <w:rsid w:val="00972FE0"/>
    <w:rsid w:val="00976161"/>
    <w:rsid w:val="00980790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47BDB"/>
    <w:rsid w:val="00A65597"/>
    <w:rsid w:val="00A7313B"/>
    <w:rsid w:val="00A854F6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3545"/>
    <w:rsid w:val="00C65C2D"/>
    <w:rsid w:val="00C66DA3"/>
    <w:rsid w:val="00C77EBE"/>
    <w:rsid w:val="00C87BFE"/>
    <w:rsid w:val="00C9750F"/>
    <w:rsid w:val="00CB5F85"/>
    <w:rsid w:val="00CB6A93"/>
    <w:rsid w:val="00CC29FD"/>
    <w:rsid w:val="00CD1E4C"/>
    <w:rsid w:val="00CD56C3"/>
    <w:rsid w:val="00CD5C93"/>
    <w:rsid w:val="00CD7232"/>
    <w:rsid w:val="00CF4129"/>
    <w:rsid w:val="00D1031C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A308C"/>
    <w:rsid w:val="00DB36CB"/>
    <w:rsid w:val="00DC572B"/>
    <w:rsid w:val="00DD2A32"/>
    <w:rsid w:val="00DD6EC7"/>
    <w:rsid w:val="00DE61A8"/>
    <w:rsid w:val="00DF1278"/>
    <w:rsid w:val="00DF7A87"/>
    <w:rsid w:val="00E04D59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4C5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s-urs.cz/tridniky/kso/" TargetMode="External"/><Relationship Id="rId1" Type="http://schemas.openxmlformats.org/officeDocument/2006/relationships/hyperlink" Target="https://www.cs-urs.cz/tridniky/ks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1588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60</cp:revision>
  <dcterms:created xsi:type="dcterms:W3CDTF">2024-07-03T07:09:00Z</dcterms:created>
  <dcterms:modified xsi:type="dcterms:W3CDTF">2025-11-07T10:09:00Z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