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C1A15" w14:textId="77777777" w:rsidR="00D53191" w:rsidRPr="008455FC" w:rsidRDefault="00D53191" w:rsidP="00D53191">
      <w:pPr>
        <w:rPr>
          <w:rFonts w:ascii="Arial" w:hAnsi="Arial" w:cs="Arial"/>
          <w:b/>
          <w:bCs/>
          <w:sz w:val="22"/>
          <w:szCs w:val="22"/>
        </w:rPr>
      </w:pPr>
      <w:r w:rsidRPr="008455FC">
        <w:rPr>
          <w:rFonts w:ascii="Arial" w:hAnsi="Arial" w:cs="Arial"/>
          <w:b/>
          <w:bCs/>
          <w:sz w:val="22"/>
          <w:szCs w:val="22"/>
        </w:rPr>
        <w:t xml:space="preserve">Příloha č. 10 smlouvy o dílo – </w:t>
      </w:r>
      <w:r w:rsidRPr="007833A2">
        <w:rPr>
          <w:rFonts w:ascii="Arial" w:hAnsi="Arial" w:cs="Arial"/>
          <w:b/>
          <w:bCs/>
          <w:sz w:val="22"/>
          <w:szCs w:val="22"/>
        </w:rPr>
        <w:t>Pokyny a vzorová zpráva o plnění zásad DNSH</w:t>
      </w:r>
    </w:p>
    <w:p w14:paraId="1C813AD9" w14:textId="77777777" w:rsidR="00D53191" w:rsidRPr="004718D3" w:rsidRDefault="00D53191" w:rsidP="00D53191">
      <w:pPr>
        <w:rPr>
          <w:rFonts w:ascii="Arial" w:hAnsi="Arial" w:cs="Arial"/>
          <w:sz w:val="20"/>
          <w:szCs w:val="20"/>
        </w:rPr>
      </w:pPr>
    </w:p>
    <w:p w14:paraId="24BB588C" w14:textId="77777777" w:rsidR="00D53191" w:rsidRPr="00773290" w:rsidRDefault="00D53191" w:rsidP="00D53191">
      <w:pPr>
        <w:spacing w:after="160" w:line="256" w:lineRule="auto"/>
        <w:jc w:val="center"/>
        <w:rPr>
          <w:rFonts w:ascii="Arial" w:eastAsia="Calibr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Zásady DNSH a jejich naplnění</w:t>
      </w:r>
    </w:p>
    <w:p w14:paraId="4240C8CD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1. Zmírňování změny klimatu</w:t>
      </w:r>
    </w:p>
    <w:p w14:paraId="4A64476C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0414EA1B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Budovy projektu splňují kritéria energetické třídy A (mimořádně úsporné) dle průkazu energetické náročnosti budovy (PENB).</w:t>
      </w:r>
    </w:p>
    <w:p w14:paraId="3165C88E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Návrh dispozice využívající maximalizující solární zisky na jaře a na podzim a efektivní stínění v průběhu léta</w:t>
      </w:r>
    </w:p>
    <w:p w14:paraId="28CBB2A6" w14:textId="77777777" w:rsidR="00D53191" w:rsidRPr="00773290" w:rsidRDefault="00D53191" w:rsidP="00D53191">
      <w:pPr>
        <w:spacing w:after="160" w:line="256" w:lineRule="auto"/>
        <w:ind w:left="360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Systémy pro efektivní využívání energie zahrnují:</w:t>
      </w:r>
    </w:p>
    <w:p w14:paraId="29915396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Instalaci velmi účinného plynového kondenzačního kotle </w:t>
      </w:r>
    </w:p>
    <w:p w14:paraId="47406DB2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Řízené větrání s rekuperací </w:t>
      </w:r>
    </w:p>
    <w:p w14:paraId="0DBD1517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Okna s trojskly pro zlepšení tepelných vlastností budovy.</w:t>
      </w:r>
    </w:p>
    <w:p w14:paraId="29DEDB83" w14:textId="77777777" w:rsidR="00D53191" w:rsidRPr="00773290" w:rsidRDefault="00D53191" w:rsidP="00D53191">
      <w:pPr>
        <w:numPr>
          <w:ilvl w:val="0"/>
          <w:numId w:val="30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Ve fázi výstavby a provozu budou minimalizovány emise CO</w:t>
      </w:r>
      <w:r w:rsidRPr="00773290">
        <w:rPr>
          <w:rFonts w:ascii="Cambria Math" w:eastAsia="Calibri" w:hAnsi="Cambria Math" w:cs="Cambria Math"/>
          <w:kern w:val="2"/>
          <w:sz w:val="20"/>
          <w:szCs w:val="20"/>
          <w:lang w:eastAsia="en-US"/>
          <w14:ligatures w14:val="standardContextual"/>
        </w:rPr>
        <w:t>₂</w:t>
      </w: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.</w:t>
      </w:r>
    </w:p>
    <w:p w14:paraId="6598075B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45F14F0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2. Přizpůsobení se změně klimatu</w:t>
      </w:r>
    </w:p>
    <w:p w14:paraId="1EB2FDBA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53BC876F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Realizace zelených ploch včetně zahrady a vsakovacích systémů.</w:t>
      </w:r>
    </w:p>
    <w:p w14:paraId="02A49661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Retenční nádrž na dešťovou vodu o objemu 24,7 m³ pro zalévání zahrady a úpravy prostředí.</w:t>
      </w:r>
    </w:p>
    <w:p w14:paraId="7F29ADAC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Bezbariérové úpravy pro zajištění odolnosti vůči extrémním klimatickým podmínkám (např. odvod vody při přívalových deštích).</w:t>
      </w:r>
    </w:p>
    <w:p w14:paraId="7CF8A6A7" w14:textId="77777777" w:rsidR="00D53191" w:rsidRPr="00773290" w:rsidRDefault="00D53191" w:rsidP="00D53191">
      <w:pPr>
        <w:numPr>
          <w:ilvl w:val="0"/>
          <w:numId w:val="31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Návrh výsadby vzrostlých stromů a trvalkových záhonů pro specificky suchá o stinná stanoviště</w:t>
      </w:r>
    </w:p>
    <w:p w14:paraId="6A1E5FA8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A48AE23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3. Udržitelné využívání a ochrana vodních zdrojů</w:t>
      </w:r>
    </w:p>
    <w:p w14:paraId="414D4317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4C13A30B" w14:textId="77777777" w:rsidR="00D53191" w:rsidRPr="00773290" w:rsidRDefault="00D53191" w:rsidP="00D53191">
      <w:pPr>
        <w:numPr>
          <w:ilvl w:val="0"/>
          <w:numId w:val="32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Instalace zařízení s nízkou spotřebou vody (baterie s průtokem max. 6 l/min, WC se splachovací kapacitou 3,5 l).</w:t>
      </w:r>
    </w:p>
    <w:p w14:paraId="2862C719" w14:textId="77777777" w:rsidR="00D53191" w:rsidRPr="00773290" w:rsidRDefault="00D53191" w:rsidP="00D53191">
      <w:pPr>
        <w:numPr>
          <w:ilvl w:val="0"/>
          <w:numId w:val="32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Využití retenční nádrže a vsakovacích šachet ke snížení odtoku dešťové vody a její udržení v místě dopadu.</w:t>
      </w:r>
    </w:p>
    <w:p w14:paraId="707CC559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DABDB2B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4. Přechod na oběhové hospodářství</w:t>
      </w:r>
    </w:p>
    <w:p w14:paraId="4503F9EE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4497FC4C" w14:textId="77777777" w:rsidR="00D53191" w:rsidRPr="00773290" w:rsidRDefault="00D53191" w:rsidP="00D53191">
      <w:pPr>
        <w:numPr>
          <w:ilvl w:val="0"/>
          <w:numId w:val="33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Zajištění recyklace minimálně 70 % stavebního a demoličního odpadu.</w:t>
      </w:r>
    </w:p>
    <w:p w14:paraId="15B6CB79" w14:textId="77777777" w:rsidR="00D53191" w:rsidRPr="00773290" w:rsidRDefault="00D53191" w:rsidP="00D53191">
      <w:pPr>
        <w:numPr>
          <w:ilvl w:val="0"/>
          <w:numId w:val="33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Použití recyklovatelných materiálů a produktů, například dřeva s certifikáty FSC nebo PEFC.</w:t>
      </w:r>
    </w:p>
    <w:p w14:paraId="20A8AEF6" w14:textId="77777777" w:rsidR="00D53191" w:rsidRPr="00773290" w:rsidRDefault="00D53191" w:rsidP="00D53191">
      <w:pPr>
        <w:numPr>
          <w:ilvl w:val="0"/>
          <w:numId w:val="33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Minimalizace vzniku odpadu během výstavby.</w:t>
      </w:r>
    </w:p>
    <w:p w14:paraId="024CCA38" w14:textId="77777777" w:rsidR="00D53191" w:rsidRPr="00773290" w:rsidRDefault="00D53191" w:rsidP="00D53191">
      <w:pPr>
        <w:spacing w:after="160" w:line="256" w:lineRule="auto"/>
        <w:ind w:left="720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6F67852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5. Prevence a omezování znečištění</w:t>
      </w:r>
    </w:p>
    <w:p w14:paraId="4872C18D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75780DF2" w14:textId="77777777" w:rsidR="00D53191" w:rsidRPr="00773290" w:rsidRDefault="00D53191" w:rsidP="00D53191">
      <w:pPr>
        <w:numPr>
          <w:ilvl w:val="0"/>
          <w:numId w:val="34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Použití zdravotně nezávadných stavebních materiálů (bez nebezpečných chemikálií, těžkých kovů).</w:t>
      </w:r>
    </w:p>
    <w:p w14:paraId="19BBE0F2" w14:textId="77777777" w:rsidR="00D53191" w:rsidRPr="00773290" w:rsidRDefault="00D53191" w:rsidP="00D53191">
      <w:pPr>
        <w:numPr>
          <w:ilvl w:val="0"/>
          <w:numId w:val="34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Kontrola znečištění ovzduší, vody a půdy během výstavby (omezení prašnosti, správné nakládání s odpady, bezpečné likvidace nebezpečných materiálů).</w:t>
      </w:r>
    </w:p>
    <w:p w14:paraId="4C46C869" w14:textId="18A799F8" w:rsidR="00D53191" w:rsidRPr="0081735A" w:rsidRDefault="00D53191" w:rsidP="00D53191">
      <w:pPr>
        <w:numPr>
          <w:ilvl w:val="0"/>
          <w:numId w:val="34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Minimalizace hlučnosti a prašnosti při stavebních činnostech.</w:t>
      </w:r>
    </w:p>
    <w:p w14:paraId="52833AD6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6. Ochrana biologické rozmanitosti a ekosystémů</w:t>
      </w:r>
    </w:p>
    <w:p w14:paraId="0F7503A7" w14:textId="77777777" w:rsidR="00D53191" w:rsidRPr="00773290" w:rsidRDefault="00D53191" w:rsidP="00D53191">
      <w:pPr>
        <w:spacing w:after="160" w:line="256" w:lineRule="auto"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Opatření:</w:t>
      </w:r>
    </w:p>
    <w:p w14:paraId="1719E454" w14:textId="77777777" w:rsidR="00D53191" w:rsidRPr="00773290" w:rsidRDefault="00D53191" w:rsidP="00D53191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Projekt není realizován na území chráněných oblastí (např. Natura 2000).</w:t>
      </w:r>
    </w:p>
    <w:p w14:paraId="57592901" w14:textId="77777777" w:rsidR="00D53191" w:rsidRPr="00773290" w:rsidRDefault="00D53191" w:rsidP="00D53191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>Zajištění ochrany půdy a stávající vegetace.</w:t>
      </w:r>
    </w:p>
    <w:p w14:paraId="1286F7F0" w14:textId="77777777" w:rsidR="00D53191" w:rsidRPr="00773290" w:rsidRDefault="00D53191" w:rsidP="00D53191">
      <w:pPr>
        <w:numPr>
          <w:ilvl w:val="0"/>
          <w:numId w:val="35"/>
        </w:numPr>
        <w:spacing w:after="160" w:line="256" w:lineRule="auto"/>
        <w:contextualSpacing/>
        <w:jc w:val="left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773290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lastRenderedPageBreak/>
        <w:t>Při terénních úpravách se zamezí šíření invazivních druhů rostlin.</w:t>
      </w:r>
    </w:p>
    <w:p w14:paraId="5EE26D3B" w14:textId="77777777" w:rsidR="00D53191" w:rsidRDefault="00D53191" w:rsidP="00D53191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2F854F5E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Závěrečná zpráva o realizaci projektu a popis splnění implementace zásady „významně nepoškozovat“ životní prostředí (DNSH) a prověřování infrastruktury z hlediska klimatického dopadu (CP) v projektech IROP 2021-2027 </w:t>
      </w:r>
    </w:p>
    <w:p w14:paraId="2842A84F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>S ohledem na ustanovení ZS č. 7 (účinné od dne 17.7.2023), resp. Obecných pravidel pro žadatele a příjemce verze č. 3 účinná ode dne 14.8.2023), je příjemce povinen v Závěrečné zprávě o realizaci projektu (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) uvést, jakým způsobem Podmínky DNSH/CP v projektu splnil. </w:t>
      </w:r>
    </w:p>
    <w:p w14:paraId="203FAC67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Závěrečnou 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předkládá příjemce v souladu s pokyny uvedenými v Obecných pravidlech, resp. uživatelské příručce Postup pro vyplňování zprávy o realizaci projektu, která uvádí, že informace o plnění DNSH/CP je nutné vyplnit do pole „Popis pokroku v realizaci projektu za sledované období“ společně s informacemi o realizaci daného sledovaného období a o plnění dosavadního postupu prací na projektu (blíže viz kapitola 3.2 této příručky). </w:t>
      </w:r>
    </w:p>
    <w:p w14:paraId="45C5ACC1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Vzhledem k tomu, že do uvedeného pole je možné vyplnit maximálně 2 000 znaků, předpokládáme, že informace o plnění DNSH/CP budou příjemci dokládat spíše formou samostatné přílohy, kterou vloží na 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(záložka Dokumenty Zprávy) nebo na </w:t>
      </w:r>
      <w:proofErr w:type="spellStart"/>
      <w:r w:rsidRPr="004718D3">
        <w:rPr>
          <w:rFonts w:ascii="Arial" w:hAnsi="Arial" w:cs="Arial"/>
          <w:sz w:val="20"/>
          <w:szCs w:val="20"/>
        </w:rPr>
        <w:t>ŽoP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(záložka Přílohy) a do pole „Popis pokroku v realizaci projektu za sledované období“ uvedou odkaz, kam byl tento dokument uložen. </w:t>
      </w:r>
    </w:p>
    <w:p w14:paraId="4B8150F0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V rámci popisu plnění principů DNSH/CP bude příjemce vycházet ze Specifických pravidel pro žadatele a příjemce a jejich přílohy Osnova Studie proveditelnosti, které uvádí specifika podmínek DNSH/CP pro příslušnou výzvu, resp. Studie proveditelnosti k danému projektu, kde se příjemce zavázal jednotlivá opatření splnit. Příjemce tedy v rámci závěrečné 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, resp. samostatném dokumentu, popíše, jak splnil opatření, ke kterými se dříve zavázal. Kromě tohoto popisu není nutné, aby příjemce k </w:t>
      </w:r>
      <w:proofErr w:type="spellStart"/>
      <w:r w:rsidRPr="004718D3">
        <w:rPr>
          <w:rFonts w:ascii="Arial" w:hAnsi="Arial" w:cs="Arial"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sz w:val="20"/>
          <w:szCs w:val="20"/>
        </w:rPr>
        <w:t>/</w:t>
      </w:r>
      <w:proofErr w:type="spellStart"/>
      <w:r w:rsidRPr="004718D3">
        <w:rPr>
          <w:rFonts w:ascii="Arial" w:hAnsi="Arial" w:cs="Arial"/>
          <w:sz w:val="20"/>
          <w:szCs w:val="20"/>
        </w:rPr>
        <w:t>ŽoP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předkládal další přílohy. </w:t>
      </w:r>
    </w:p>
    <w:p w14:paraId="3B0AE573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V následujícím textu uvádíme bližší specifikaci, kterou by měl popis jednotlivých principů DNSH/CP obsahovat. Uvedené je ale nutné považovat pouze za vzor, protože Specifická pravidla pro žadatele a příjemce mohou stanovit pro danou výzvu specifické požadavky. </w:t>
      </w:r>
    </w:p>
    <w:p w14:paraId="2C113396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Příklady popisu splnění jednotlivých principů DNSH/CP v závěrečné </w:t>
      </w:r>
      <w:proofErr w:type="spellStart"/>
      <w:r w:rsidRPr="004718D3">
        <w:rPr>
          <w:rFonts w:ascii="Arial" w:hAnsi="Arial" w:cs="Arial"/>
          <w:b/>
          <w:bCs/>
          <w:sz w:val="20"/>
          <w:szCs w:val="20"/>
        </w:rPr>
        <w:t>ZoR</w:t>
      </w:r>
      <w:proofErr w:type="spellEnd"/>
      <w:r w:rsidRPr="004718D3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2AF4CDEC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1. Udržitelné využívání a ochrana vodních zdrojů (pokud jsou v projektu pořizovány zařízení pro používání vody) </w:t>
      </w:r>
    </w:p>
    <w:p w14:paraId="0C8C94B4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uvede přehled instalovaných typů zařízení (typové označení výrobku) pro používání vody v projektu s informací, že splňují technické parametry (příp. jaká dodatečná zařízení vedoucí ke splnění parametrů byla instalována) </w:t>
      </w:r>
    </w:p>
    <w:p w14:paraId="08317930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i/>
          <w:iCs/>
          <w:sz w:val="20"/>
          <w:szCs w:val="20"/>
        </w:rPr>
        <w:t>Pozn.: Doporučujeme čerpat informace ze ZZ TDI (její nepovinný vzor viz příloha č. 1 v tomto dokumentu) nebo z technických listů výrobků, tj. z dokumentace, která bude předkládána při případné VSK</w:t>
      </w:r>
      <w:r w:rsidRPr="004718D3">
        <w:rPr>
          <w:rFonts w:ascii="Arial" w:hAnsi="Arial" w:cs="Arial"/>
          <w:sz w:val="20"/>
          <w:szCs w:val="20"/>
        </w:rPr>
        <w:t xml:space="preserve">. </w:t>
      </w:r>
    </w:p>
    <w:p w14:paraId="6D02D7F6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2. Přechod na oběhové hospodářství (pokud jsou předmětem projektu stavební práce) </w:t>
      </w:r>
    </w:p>
    <w:p w14:paraId="2123FB0B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provede porovnání plánu přípravy se skutečností, případné odchylky je nutné odůvodnit </w:t>
      </w:r>
    </w:p>
    <w:p w14:paraId="7C62A671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příjemce popíše, jakým způsobem byla naplněna podmínka přípravy minimálně 70 % relevantního stavebního a demoličního odpadu k opětovnému použití. Je třeba uvést alespoň celkové množství relevantního odpadu (v hmotnostních jednotkách), které na stavbě vzniklo, a celkové množství z tohoto odpadu, které bylo předáno k opětovnému použití, recyklaci či k jiným druhům materiálového využití (opět v hmotnostních jednotkách), tedy provést hrubý výpočet splnění podmínky. Pokud SPPŽP vyžadují k ukončení realizace projektu doložit dokument, který naplnění podmínky prokazuje (relevantní pro specifické cíle SC 3.1 “krajské silnice”, SC 6.1 “udržitelná doprava” a projekty CLLD zaměřené na </w:t>
      </w:r>
      <w:proofErr w:type="spellStart"/>
      <w:r w:rsidRPr="004718D3">
        <w:rPr>
          <w:rFonts w:ascii="Arial" w:hAnsi="Arial" w:cs="Arial"/>
          <w:sz w:val="20"/>
          <w:szCs w:val="20"/>
        </w:rPr>
        <w:t>cyklodopravu</w:t>
      </w:r>
      <w:proofErr w:type="spellEnd"/>
      <w:r w:rsidRPr="004718D3">
        <w:rPr>
          <w:rFonts w:ascii="Arial" w:hAnsi="Arial" w:cs="Arial"/>
          <w:sz w:val="20"/>
          <w:szCs w:val="20"/>
        </w:rPr>
        <w:t xml:space="preserve"> nebo bezpečnou nemotorovou dopravu), je za takovýto dokument možné považovat i doložený detailní propočet s využitím příkladové tabulky v příloze č.2. </w:t>
      </w:r>
    </w:p>
    <w:p w14:paraId="6F9827E5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i/>
          <w:iCs/>
          <w:sz w:val="20"/>
          <w:szCs w:val="20"/>
        </w:rPr>
        <w:t xml:space="preserve">Pozn.: Doporučujeme čerpat informace z dokumentů, které budou předkládány při případné VSK, a z výpočtu splnění podmínky 70 % (nepovinný vzor viz příloha č. 2 v tomto dokumentu) </w:t>
      </w:r>
    </w:p>
    <w:p w14:paraId="3B3F7D4B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3. Prevence a omezování znečištění (pokud je pro projekt relevantní) </w:t>
      </w:r>
    </w:p>
    <w:p w14:paraId="0DB67EE4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u kterých je nová stavba umístěna na potenciálně kontaminovaném místě, příjemce uvede, jaká konkrétní rizika byla shledána a jaká byla přijata opatření k naplnění pravidel DNSH dle výzvy. </w:t>
      </w:r>
    </w:p>
    <w:p w14:paraId="2D2E9FBC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lastRenderedPageBreak/>
        <w:t xml:space="preserve">- příjemce popíše, jaká byla přijata opatření ke snížení hluku, prachu a emisí znečišťujících látek při stavebních nebo údržbářských pracích, pokud jsou takové práce součásti projektu. </w:t>
      </w:r>
    </w:p>
    <w:p w14:paraId="70B2BDE5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4. Ochrana a obnova biologické rozmanitosti a ekosystémů (pokud je pro projekt relevantní) </w:t>
      </w:r>
    </w:p>
    <w:p w14:paraId="142BE8CA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jejichž předmětem je výstavba nové budovy postavené na jednom z území definovaných v SPŽPP, příjemce uvede, že byl již při hodnocení doložen souhlas s vynětím ze ZPF/PUPFL před vydáním PA, případně je možné pro úplnost i zde uvést č.j. souhlasu, datum jeho vydání vč. orgánu státní správy, který jej vydal. </w:t>
      </w:r>
    </w:p>
    <w:p w14:paraId="738E44C1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b/>
          <w:bCs/>
          <w:sz w:val="20"/>
          <w:szCs w:val="20"/>
        </w:rPr>
        <w:t xml:space="preserve">Je-li pro projekt relevantní, pak příjemce popíše vliv i na CP: </w:t>
      </w:r>
    </w:p>
    <w:p w14:paraId="33F082DF" w14:textId="77777777" w:rsidR="00D53191" w:rsidRPr="004718D3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kde byla v rámci Dokumentace k prověřování z hlediska klimatického dopadu, konkrétně v části Zmírňování změny klimatu posuzována uhlíková stopa (CPM), příjemce popíše, zda projektem nedošlo ke zvýšení emisí skleníkových plynů oproti výchozímu stavu. </w:t>
      </w:r>
    </w:p>
    <w:p w14:paraId="2CD96813" w14:textId="77777777" w:rsidR="00D53191" w:rsidRDefault="00D53191" w:rsidP="00D53191">
      <w:pPr>
        <w:spacing w:before="120" w:after="120"/>
        <w:rPr>
          <w:rFonts w:ascii="Arial" w:hAnsi="Arial" w:cs="Arial"/>
          <w:sz w:val="20"/>
          <w:szCs w:val="20"/>
        </w:rPr>
      </w:pPr>
      <w:r w:rsidRPr="004718D3">
        <w:rPr>
          <w:rFonts w:ascii="Arial" w:hAnsi="Arial" w:cs="Arial"/>
          <w:sz w:val="20"/>
          <w:szCs w:val="20"/>
        </w:rPr>
        <w:t xml:space="preserve">- u projektů, kde byla v rámci Dokumentace k prověřování z hlediska klimatického dopadu, konkrétně v části Přizpůsobení se změnám klimatu (CPA), zjištěna významná klimatická rizika, příjemce popíše, jak byla navržená adaptační opatření snižující taková rizika na přijatelnou úroveň zrealizována. </w:t>
      </w:r>
    </w:p>
    <w:p w14:paraId="2B7A6A2F" w14:textId="77777777" w:rsidR="00D53191" w:rsidRDefault="00D53191" w:rsidP="00D53191">
      <w:pPr>
        <w:rPr>
          <w:rFonts w:ascii="Arial" w:hAnsi="Arial" w:cs="Arial"/>
          <w:sz w:val="20"/>
          <w:szCs w:val="20"/>
        </w:rPr>
        <w:sectPr w:rsidR="00D53191" w:rsidSect="008173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1134" w:left="1418" w:header="680" w:footer="215" w:gutter="0"/>
          <w:pgNumType w:start="1"/>
          <w:cols w:space="708"/>
          <w:titlePg/>
          <w:docGrid w:linePitch="360"/>
        </w:sectPr>
      </w:pPr>
    </w:p>
    <w:tbl>
      <w:tblPr>
        <w:tblW w:w="132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696"/>
        <w:gridCol w:w="696"/>
        <w:gridCol w:w="696"/>
        <w:gridCol w:w="696"/>
        <w:gridCol w:w="696"/>
        <w:gridCol w:w="696"/>
        <w:gridCol w:w="696"/>
        <w:gridCol w:w="700"/>
        <w:gridCol w:w="756"/>
        <w:gridCol w:w="757"/>
        <w:gridCol w:w="1434"/>
        <w:gridCol w:w="756"/>
        <w:gridCol w:w="756"/>
        <w:gridCol w:w="1954"/>
      </w:tblGrid>
      <w:tr w:rsidR="00D53191" w:rsidRPr="00F06317" w14:paraId="4A1EBBF7" w14:textId="77777777" w:rsidTr="007D30BB">
        <w:trPr>
          <w:trHeight w:val="521"/>
        </w:trPr>
        <w:tc>
          <w:tcPr>
            <w:tcW w:w="6808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4859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Příloha č. 1 - Udržitelné využívání a ochrana vodních zdrojů: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95C83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2ED48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9B095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C23C7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95EC8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A0E93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508E2139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DD14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2E69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84049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2073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C102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4074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7EC5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1716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89EE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4C64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705B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3A76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A1DC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4D20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9362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DF05DEE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779D590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Jsou instalována tato zařízení k využívání vody: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D966"/>
            <w:vAlign w:val="bottom"/>
            <w:hideMark/>
          </w:tcPr>
          <w:p w14:paraId="6A6C584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D966"/>
            <w:noWrap/>
            <w:vAlign w:val="center"/>
            <w:hideMark/>
          </w:tcPr>
          <w:p w14:paraId="59835842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D966"/>
            <w:noWrap/>
            <w:vAlign w:val="center"/>
            <w:hideMark/>
          </w:tcPr>
          <w:p w14:paraId="1EDDCC3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160507EB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048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000000" w:fill="FFD966"/>
            <w:vAlign w:val="bottom"/>
            <w:hideMark/>
          </w:tcPr>
          <w:p w14:paraId="27F1BD5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FF860A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6A0E88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3191" w:rsidRPr="00F06317" w14:paraId="05C961DA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5A0D6E8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a) umyvadlové baterie a kuchyňské baterie mají maximální průtok vody 6 litrů/min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5055242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D59BFF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27265CF8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3F64F6DB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8DD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4B3C1F1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3D2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13B0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76B4B3DB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1F5F098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BFE1F7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průtok/min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F0A0FB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400ABB00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1D78AC84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D64D5F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7227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66026C4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1BC0BD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61EFA63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70EAEAF1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97F03D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8C4332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9EBB21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21C026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79538E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2B4F00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269FF6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47782D1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865E1C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793921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35968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80274C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146382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DE6005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A9172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3EF3F130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7F44185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666D9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E87054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CE37E3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E6EE27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6AE30EC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2F788A1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b) sprchy mají maximální průtok vody 8 litrů/min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3E5765E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ED5A4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61AD76A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0C71E17F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7AD6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1CE4B9F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FE9C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77C94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3433BC89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07E46EC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17B61A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průtok/min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55DF97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1138341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40C73E6D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FD4AD9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150B5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B61085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48A7FA6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04FCF0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7335D854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6B2BCA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1FB4EF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110675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D585A4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18B599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9F7BD0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01ACB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EFBA67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72DD2B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3FA564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CCD5C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323A6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F6D4E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352CC88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A7D47BC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6985F26E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73B8F0F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014E0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1A7C90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D29985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FC667B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736739D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52B2581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c) WC, zahrnující soupravy, mísy a splachovací nádrže, mají úplný objem splachovací vody</w:t>
            </w: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br/>
              <w:t>maximálně 6 litrů a maximální průměrný objem splachovací vody 3,5 litru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1EE9C33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8F4026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140D244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03C6FDCF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E3F7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5AD6054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6874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D1B2D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15F966CF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0403B2E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CF35DC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průtok/min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F61598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14B59A9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32FE9CFD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1BE9CAA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1005A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B62FE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058DFE1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C91733C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6A7E1279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CD967B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B6D584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CDFC86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017C49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ADE0FB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40E2CD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EDBC91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0BF4B8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75C16CC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8762BE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7F76F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03BC1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353C0C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2F1881B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3626D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3C86BD04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197A78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2023A9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A8E58D9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1F33F54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BD16E71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6B48755D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D966"/>
            <w:vAlign w:val="bottom"/>
            <w:hideMark/>
          </w:tcPr>
          <w:p w14:paraId="180E25B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e) pisoáry spotřebují maximálně 2 litry/mísu/hodinu. Splachovací pisoáry mají maximální úplný objem splachovací vody 1 litr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71CA6A9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D6940F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49EEDAB0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D53191" w:rsidRPr="00F06317" w14:paraId="608FB468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B726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14:paraId="78F1094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DA82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29E05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3191" w:rsidRPr="00F06317" w14:paraId="1B5D3127" w14:textId="77777777" w:rsidTr="007D30BB">
        <w:trPr>
          <w:trHeight w:val="1069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center"/>
            <w:hideMark/>
          </w:tcPr>
          <w:p w14:paraId="0408D4F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Typ a výrobní označení výrobku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hideMark/>
          </w:tcPr>
          <w:p w14:paraId="61DF0A1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spotřeba l/hod nebo hodnota úplného objemu splachovací vody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449389B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noWrap/>
            <w:vAlign w:val="bottom"/>
            <w:hideMark/>
          </w:tcPr>
          <w:p w14:paraId="6B18395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Umístění (patro, místnost č.)</w:t>
            </w:r>
          </w:p>
        </w:tc>
      </w:tr>
      <w:tr w:rsidR="00D53191" w:rsidRPr="00F06317" w14:paraId="3E8C8925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6133579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B4456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3D82CF4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7417BF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63E493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1442827E" w14:textId="77777777" w:rsidTr="007D30BB">
        <w:trPr>
          <w:trHeight w:val="267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0761E1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E6C52E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5CB57B3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9453DF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3066AA5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DA15FE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62E9501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2BB2C2F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03EF8A6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center"/>
            <w:hideMark/>
          </w:tcPr>
          <w:p w14:paraId="179D5C2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E3EEC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4BEFC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3A9AE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C567D0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07EE01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8A9ECA7" w14:textId="77777777" w:rsidTr="007D30BB">
        <w:trPr>
          <w:trHeight w:val="267"/>
        </w:trPr>
        <w:tc>
          <w:tcPr>
            <w:tcW w:w="83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5694E55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2F95C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1918BD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7AFB3AA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A8C6FCD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53191" w:rsidRPr="00F06317" w14:paraId="5F3CFC31" w14:textId="77777777" w:rsidTr="007D30BB">
        <w:trPr>
          <w:trHeight w:val="267"/>
        </w:trPr>
        <w:tc>
          <w:tcPr>
            <w:tcW w:w="832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8B31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Poznámka: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  <w:t>Maximální průměrný objem splachovací vody vypočten ze vzorce Va3 = (Vf4 + (3 × Vr5)) /4)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proofErr w:type="spellStart"/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Va</w:t>
            </w:r>
            <w:proofErr w:type="spellEnd"/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= průměrný objem;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  <w:t>Vf = úplné (velké) spláchnutí, 6 litrů;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proofErr w:type="spellStart"/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Vr</w:t>
            </w:r>
            <w:proofErr w:type="spellEnd"/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= redukované (malé) spláchnutí; 3 litry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A31F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BEA0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E272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919CE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76D6D4A2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3DF6F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F73E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F135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55B4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A890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5BD2A25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852E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1FC2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B43F6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0882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48CE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7D4B70AF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68CD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5947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2E090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1C286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7DF3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0C7E4B8C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EE7C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DAC7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4DDA1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3CF2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F43F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05463DED" w14:textId="77777777" w:rsidTr="007D30BB">
        <w:trPr>
          <w:trHeight w:val="267"/>
        </w:trPr>
        <w:tc>
          <w:tcPr>
            <w:tcW w:w="83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4E8E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8358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AFBD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C927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BC8E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</w:tbl>
    <w:p w14:paraId="72C26CEF" w14:textId="77777777" w:rsidR="00D53191" w:rsidRDefault="00D53191" w:rsidP="00D53191">
      <w:pPr>
        <w:rPr>
          <w:rFonts w:ascii="Arial" w:hAnsi="Arial" w:cs="Arial"/>
          <w:sz w:val="20"/>
          <w:szCs w:val="20"/>
        </w:rPr>
      </w:pPr>
    </w:p>
    <w:p w14:paraId="27DA03BD" w14:textId="77777777" w:rsidR="00D53191" w:rsidRDefault="00D53191" w:rsidP="00D53191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3658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428"/>
        <w:gridCol w:w="2384"/>
        <w:gridCol w:w="1199"/>
        <w:gridCol w:w="777"/>
        <w:gridCol w:w="777"/>
        <w:gridCol w:w="777"/>
        <w:gridCol w:w="777"/>
        <w:gridCol w:w="777"/>
        <w:gridCol w:w="777"/>
        <w:gridCol w:w="777"/>
        <w:gridCol w:w="11"/>
        <w:gridCol w:w="131"/>
        <w:gridCol w:w="19"/>
      </w:tblGrid>
      <w:tr w:rsidR="00D53191" w:rsidRPr="00F06317" w14:paraId="305528A3" w14:textId="77777777" w:rsidTr="007D30BB">
        <w:trPr>
          <w:gridAfter w:val="3"/>
          <w:wAfter w:w="161" w:type="dxa"/>
          <w:trHeight w:val="574"/>
        </w:trPr>
        <w:tc>
          <w:tcPr>
            <w:tcW w:w="68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CE2753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Příloha č. 2 - Přechod na oběhové hospodářství: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C787C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B185A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60809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326B3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48CE2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9F44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BD2B8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B847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01573AC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4CE8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73FEA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D8FA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C057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A178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6189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B5F8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CC13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E436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BFB1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D72A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56EC4095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36DF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9F815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0C45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E7FA4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8EE4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AD38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15D1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D625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3ABA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C268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E666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6F2A7C57" w14:textId="77777777" w:rsidTr="007D30BB">
        <w:trPr>
          <w:gridAfter w:val="3"/>
          <w:wAfter w:w="161" w:type="dxa"/>
          <w:trHeight w:val="294"/>
        </w:trPr>
        <w:tc>
          <w:tcPr>
            <w:tcW w:w="44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67DE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Výpočet: 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následuje příkladová tabulka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9D93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F174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4DDCA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60FC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78EA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9265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19B8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8201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33BD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F691E87" w14:textId="77777777" w:rsidTr="007D30BB">
        <w:trPr>
          <w:gridAfter w:val="3"/>
          <w:wAfter w:w="162" w:type="dxa"/>
          <w:trHeight w:val="193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BF11762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na staveništi vzniklý odpad v souvislosti s realizací projektu, resp. přímo na staveništi použitý materiál, který se tak formálně nestal odpadem dle české legislativy (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podrobněji viz poznámka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B1AD527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celkové množství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(v tunách)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F702F1B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množství </w:t>
            </w:r>
            <w:proofErr w:type="spell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předáné</w:t>
            </w:r>
            <w:proofErr w:type="spellEnd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subjektu s právem nakládat s </w:t>
            </w:r>
            <w:proofErr w:type="spell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proofErr w:type="spellEnd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daným druhem a kategorií odpadu, resp. využité přímo na staveništi 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(v tunách)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DCBF50E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84D02F" w14:textId="77777777" w:rsidR="00D53191" w:rsidRPr="00F06317" w:rsidRDefault="00D53191" w:rsidP="007D30B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37A7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EDBD1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CB68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2832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F290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660B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2428A634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C4F6E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17 01 01 beton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128A1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0761D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01745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86,67%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978A6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6563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5602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5B30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1A94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7AFD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14A3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6B0B171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CCF5D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17 03 02 asfaltové směsi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BFEA6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4F44E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D318D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68,75%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2A032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8A44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363C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6B7C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5573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081F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7EE5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2D1D6115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40A81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17 XX YY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3B128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0318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82A3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909C0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C7EF4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34540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8A8C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0778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B6FCB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AD86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D79E64C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221EC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44C7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6D26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219A6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ECE8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6912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B32C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8ADC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F73D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B38E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2A1E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750690A6" w14:textId="77777777" w:rsidTr="007D30BB">
        <w:trPr>
          <w:gridAfter w:val="3"/>
          <w:wAfter w:w="162" w:type="dxa"/>
          <w:trHeight w:val="88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4C11B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podrcený beton z demolice využitý do základů realizované stavby v rámci SO XY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E4B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41C41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CD0F1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100,00%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8739C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7FB2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3A7B4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74B0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5F9E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1BD4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7586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1C37040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17E82379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FA5937A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4E1783D7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29A4BF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80,24%</w:t>
            </w:r>
            <w:proofErr w:type="gramEnd"/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A224D5" w14:textId="77777777" w:rsidR="00D53191" w:rsidRPr="00F06317" w:rsidRDefault="00D53191" w:rsidP="007D30B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BB32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4CCB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E516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512B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ACDF7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C696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46F41CD" w14:textId="77777777" w:rsidTr="007D30BB">
        <w:trPr>
          <w:gridAfter w:val="3"/>
          <w:wAfter w:w="162" w:type="dxa"/>
          <w:trHeight w:val="633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B6221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459F5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FEE38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AEBB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0834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8E11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FB58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2C54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7A74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18871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3375A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C3613F1" w14:textId="77777777" w:rsidTr="007D30BB">
        <w:trPr>
          <w:gridAfter w:val="3"/>
          <w:wAfter w:w="161" w:type="dxa"/>
          <w:trHeight w:val="1769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B3C219A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Okomentování případných rozdílů oproti plánu 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přípravy minimálně 70 % relevantního odpadu k opětovnému použití (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tedy oproti stavu deklarovanému v rámci dokumentace k žádosti o poskytnutí podpory)</w:t>
            </w: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5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1D96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0631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E10B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3530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62A7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8AE3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F4AD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801E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E2AA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43313ED0" w14:textId="77777777" w:rsidTr="007D30BB">
        <w:trPr>
          <w:gridAfter w:val="3"/>
          <w:wAfter w:w="162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A7D9E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5EFBC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ED2BF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BF2E4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1DC5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F177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37DCE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E185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376BAF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B026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6E2A3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60000ED5" w14:textId="77777777" w:rsidTr="007D30BB">
        <w:trPr>
          <w:gridAfter w:val="2"/>
          <w:wAfter w:w="150" w:type="dxa"/>
          <w:trHeight w:val="1017"/>
        </w:trPr>
        <w:tc>
          <w:tcPr>
            <w:tcW w:w="135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382DC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</w:pPr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Konkrétní doklady prokazující plnění zásad DNSH (</w:t>
            </w:r>
            <w:r w:rsidRPr="00F06317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u w:val="single"/>
              </w:rPr>
              <w:t xml:space="preserve">příkladově předávací protokoly, ze kterých bude patrný druh odpadu, kdo a komu předával, předávané množství, datum předání </w:t>
            </w:r>
            <w:proofErr w:type="gramStart"/>
            <w:r w:rsidRPr="00F06317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u w:val="single"/>
              </w:rPr>
              <w:t>a  vazba</w:t>
            </w:r>
            <w:proofErr w:type="gramEnd"/>
            <w:r w:rsidRPr="00F06317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u w:val="single"/>
              </w:rPr>
              <w:t xml:space="preserve"> na </w:t>
            </w:r>
            <w:proofErr w:type="gramStart"/>
            <w:r w:rsidRPr="00F06317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u w:val="single"/>
              </w:rPr>
              <w:t>projekt - může</w:t>
            </w:r>
            <w:proofErr w:type="gramEnd"/>
            <w:r w:rsidRPr="00F06317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u w:val="single"/>
              </w:rPr>
              <w:t xml:space="preserve"> jít o ručně psanou poznámku na originále dokladu; u materiálu přímo použitého na staveništi pak příkladově vyjádření TDI, že materiál XY vzniklý na staveništi byl v množství ZX použit pro účely YZ</w:t>
            </w:r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 xml:space="preserve">) k </w:t>
            </w:r>
            <w:proofErr w:type="spellStart"/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ŽoP</w:t>
            </w:r>
            <w:proofErr w:type="spellEnd"/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/</w:t>
            </w:r>
            <w:proofErr w:type="spellStart"/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>ZoR</w:t>
            </w:r>
            <w:proofErr w:type="spellEnd"/>
            <w:r w:rsidRPr="00F0631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  <w:t xml:space="preserve"> nedokládáme, ale jsme schopni je na vyzvání či v rámci kontroly na místě předložit.</w:t>
            </w:r>
          </w:p>
        </w:tc>
      </w:tr>
      <w:tr w:rsidR="00D53191" w:rsidRPr="00F06317" w14:paraId="1C4FA6E0" w14:textId="77777777" w:rsidTr="007D30BB">
        <w:trPr>
          <w:trHeight w:val="294"/>
        </w:trPr>
        <w:tc>
          <w:tcPr>
            <w:tcW w:w="135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5E435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0B57E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u w:val="single"/>
              </w:rPr>
            </w:pPr>
          </w:p>
        </w:tc>
      </w:tr>
      <w:tr w:rsidR="00D53191" w:rsidRPr="00F06317" w14:paraId="1C1E2A47" w14:textId="77777777" w:rsidTr="007D30BB">
        <w:trPr>
          <w:gridAfter w:val="1"/>
          <w:wAfter w:w="20" w:type="dxa"/>
          <w:trHeight w:val="294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C19BD8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84775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36EE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30230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7DCF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845DAC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A71F2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1F7F5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21779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B350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EAC0B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vAlign w:val="center"/>
            <w:hideMark/>
          </w:tcPr>
          <w:p w14:paraId="47EAF74D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08E244B1" w14:textId="77777777" w:rsidTr="007D30BB">
        <w:trPr>
          <w:trHeight w:val="3288"/>
        </w:trPr>
        <w:tc>
          <w:tcPr>
            <w:tcW w:w="135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48AF7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Poznámka: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Pro úplnost vysvětlení, jaký odpad řešíme: </w:t>
            </w:r>
            <w:r w:rsidRPr="00F06317">
              <w:rPr>
                <w:rFonts w:ascii="Calibri" w:hAnsi="Calibri" w:cs="Calibri"/>
                <w:color w:val="000000"/>
                <w:sz w:val="20"/>
                <w:szCs w:val="20"/>
              </w:rPr>
              <w:t>Z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ákladem je vyhláška č. 8/2021 Sb., o Katalogu odpadů a posuzování vlastností odpadů https://www.zakonyprolidi.cz/cs/2021-8, která jako přílohu obsahuje katalog odpadů. Z kapitoly 17 tvoří základní soubor odpadů, ze kterého je potřeba připravit minimálně 70 % k opětovnému použití, všechny položky, s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výjimkou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těch, které ve svém označení obsahují slovo „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nebezpečn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ý“ (tj. obsahují nebezpečné látky nebo jsou znečištěny nebezpečnými látkami, včetně azbestu, rtuti, dehtu a </w:t>
            </w:r>
            <w:proofErr w:type="gramStart"/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PCB,</w:t>
            </w:r>
            <w:proofErr w:type="gramEnd"/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neboli jde o všechny položky „s hvězdičkou“), a s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výjimkou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položky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17 05 04 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(Zemina a kamení neuvedené pod číslem 17 05 03). Obdobně se do základního souboru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nezapočítá 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materiál splňující požadavky/kritéria pro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vedlejší produkt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dle platné legislativy.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Pro plnění podmínky DNSH není nutné splnit definici odpadu dle zákona č. 541/2020 Sb., o odpadech –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lze započítat i další druhy materiálů, které jsou ihned využity na staveništi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 a které se formálně nestanou odpadem dle zákona. Do tohoto množství se opět nezapočítává nebezpečný materiál (musí s ním být nakládáno v souladu s legislativou) a materiál svým charakterem spadající pod položku 17 05 04 (zemina a kamení).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br/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br/>
              <w:t xml:space="preserve">Pokud by byl odpad/materiál využitý přímo na staveništi veden v objemových jednotkách, je potřeba provést </w:t>
            </w:r>
            <w:r w:rsidRPr="00F0631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přepočet na jednotky hmotnostní</w:t>
            </w:r>
            <w:r w:rsidRPr="00F0631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, použitím vzorce m = ρ*V, kde hustota může být stanovena i jako expertní odhad.</w:t>
            </w:r>
          </w:p>
        </w:tc>
        <w:tc>
          <w:tcPr>
            <w:tcW w:w="150" w:type="dxa"/>
            <w:gridSpan w:val="2"/>
            <w:vAlign w:val="center"/>
            <w:hideMark/>
          </w:tcPr>
          <w:p w14:paraId="1B7F9776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  <w:tr w:rsidR="00D53191" w:rsidRPr="00F06317" w14:paraId="3543E244" w14:textId="77777777" w:rsidTr="007D30BB">
        <w:trPr>
          <w:trHeight w:val="294"/>
        </w:trPr>
        <w:tc>
          <w:tcPr>
            <w:tcW w:w="135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1DDF7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D3842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3191" w:rsidRPr="00F06317" w14:paraId="7BB8652D" w14:textId="77777777" w:rsidTr="007D30BB">
        <w:trPr>
          <w:trHeight w:val="294"/>
        </w:trPr>
        <w:tc>
          <w:tcPr>
            <w:tcW w:w="135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C1D94" w14:textId="77777777" w:rsidR="00D53191" w:rsidRPr="00F06317" w:rsidRDefault="00D53191" w:rsidP="007D30BB">
            <w:pPr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76631" w14:textId="77777777" w:rsidR="00D53191" w:rsidRPr="00F06317" w:rsidRDefault="00D53191" w:rsidP="007D30BB">
            <w:pPr>
              <w:jc w:val="left"/>
              <w:rPr>
                <w:sz w:val="20"/>
                <w:szCs w:val="20"/>
              </w:rPr>
            </w:pPr>
          </w:p>
        </w:tc>
      </w:tr>
    </w:tbl>
    <w:p w14:paraId="6C0E6775" w14:textId="77777777" w:rsidR="00D53191" w:rsidRPr="004718D3" w:rsidRDefault="00D53191" w:rsidP="00D53191">
      <w:pPr>
        <w:rPr>
          <w:rFonts w:ascii="Arial" w:hAnsi="Arial" w:cs="Arial"/>
          <w:sz w:val="20"/>
          <w:szCs w:val="20"/>
        </w:rPr>
      </w:pPr>
    </w:p>
    <w:p w14:paraId="50FF89B0" w14:textId="77777777" w:rsidR="00284B7D" w:rsidRDefault="00284B7D"/>
    <w:sectPr w:rsidR="00284B7D" w:rsidSect="00D53191">
      <w:pgSz w:w="16838" w:h="11906" w:orient="landscape" w:code="9"/>
      <w:pgMar w:top="1418" w:right="1418" w:bottom="1418" w:left="1418" w:header="680" w:footer="2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97E8A" w14:textId="77777777" w:rsidR="00D53191" w:rsidRDefault="00D53191" w:rsidP="00D53191">
      <w:r>
        <w:separator/>
      </w:r>
    </w:p>
  </w:endnote>
  <w:endnote w:type="continuationSeparator" w:id="0">
    <w:p w14:paraId="3FB698FC" w14:textId="77777777" w:rsidR="00D53191" w:rsidRDefault="00D53191" w:rsidP="00D53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CD1C1" w14:textId="77777777" w:rsidR="00E42833" w:rsidRDefault="00E42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8B533" w14:textId="77777777" w:rsidR="00C873E4" w:rsidRDefault="00C873E4" w:rsidP="002E387D">
    <w:pPr>
      <w:pStyle w:val="Zpat"/>
    </w:pPr>
  </w:p>
  <w:p w14:paraId="3CDC56BF" w14:textId="77777777" w:rsidR="00C873E4" w:rsidRDefault="00C873E4" w:rsidP="002E387D">
    <w:pPr>
      <w:pStyle w:val="Zpat"/>
      <w:jc w:val="center"/>
    </w:pPr>
  </w:p>
  <w:p w14:paraId="6BF8A278" w14:textId="77777777" w:rsidR="00C873E4" w:rsidRDefault="00C873E4" w:rsidP="002E387D">
    <w:pPr>
      <w:pStyle w:val="Zpat"/>
      <w:jc w:val="center"/>
    </w:pPr>
  </w:p>
  <w:p w14:paraId="3C7DC191" w14:textId="77777777" w:rsidR="00C873E4" w:rsidRDefault="00C873E4" w:rsidP="002E387D">
    <w:pPr>
      <w:pStyle w:val="Zpat"/>
      <w:jc w:val="center"/>
    </w:pPr>
  </w:p>
  <w:p w14:paraId="3F77A7C6" w14:textId="77777777" w:rsidR="00C873E4" w:rsidRDefault="00C873E4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4ACE6" w14:textId="77777777" w:rsidR="00E42833" w:rsidRDefault="00E428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103B" w14:textId="77777777" w:rsidR="00D53191" w:rsidRDefault="00D53191" w:rsidP="00D53191">
      <w:r>
        <w:separator/>
      </w:r>
    </w:p>
  </w:footnote>
  <w:footnote w:type="continuationSeparator" w:id="0">
    <w:p w14:paraId="37B2EB84" w14:textId="77777777" w:rsidR="00D53191" w:rsidRDefault="00D53191" w:rsidP="00D53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0948F" w14:textId="77777777" w:rsidR="00E42833" w:rsidRDefault="00E42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608C" w14:textId="77777777" w:rsidR="00E42833" w:rsidRDefault="00E428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E18E4" w14:textId="2B41FAD4" w:rsidR="00C873E4" w:rsidRPr="00901392" w:rsidRDefault="00C873E4">
    <w:pPr>
      <w:pStyle w:val="Zhlav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177"/>
    <w:multiLevelType w:val="hybridMultilevel"/>
    <w:tmpl w:val="FB6CE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16A8"/>
    <w:multiLevelType w:val="hybridMultilevel"/>
    <w:tmpl w:val="11F41B5E"/>
    <w:lvl w:ilvl="0" w:tplc="37504010">
      <w:start w:val="1"/>
      <w:numFmt w:val="lowerLetter"/>
      <w:lvlText w:val="%1)"/>
      <w:lvlJc w:val="left"/>
      <w:pPr>
        <w:ind w:left="938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3" w15:restartNumberingAfterBreak="0">
    <w:nsid w:val="036614A3"/>
    <w:multiLevelType w:val="hybridMultilevel"/>
    <w:tmpl w:val="8C306FD4"/>
    <w:lvl w:ilvl="0" w:tplc="AC748CEE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49A47E5"/>
    <w:multiLevelType w:val="hybridMultilevel"/>
    <w:tmpl w:val="16E842F0"/>
    <w:lvl w:ilvl="0" w:tplc="3C68C51A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0AAC1E3B"/>
    <w:multiLevelType w:val="hybridMultilevel"/>
    <w:tmpl w:val="00BA5828"/>
    <w:lvl w:ilvl="0" w:tplc="0BBA600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0C665FE8"/>
    <w:multiLevelType w:val="hybridMultilevel"/>
    <w:tmpl w:val="0C3CC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020F3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CC4EA1"/>
    <w:multiLevelType w:val="multilevel"/>
    <w:tmpl w:val="4DEA6954"/>
    <w:numStyleLink w:val="Styl1"/>
  </w:abstractNum>
  <w:abstractNum w:abstractNumId="9" w15:restartNumberingAfterBreak="0">
    <w:nsid w:val="267B0892"/>
    <w:multiLevelType w:val="hybridMultilevel"/>
    <w:tmpl w:val="D938C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B7AC9"/>
    <w:multiLevelType w:val="hybridMultilevel"/>
    <w:tmpl w:val="0F6C060E"/>
    <w:lvl w:ilvl="0" w:tplc="C3E81DE6">
      <w:start w:val="1"/>
      <w:numFmt w:val="lowerLetter"/>
      <w:lvlText w:val="%1)"/>
      <w:lvlJc w:val="left"/>
      <w:pPr>
        <w:ind w:left="938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1" w15:restartNumberingAfterBreak="0">
    <w:nsid w:val="2A3F7409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5E0AFC"/>
    <w:multiLevelType w:val="hybridMultilevel"/>
    <w:tmpl w:val="2F9CF53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CC65C7C"/>
    <w:multiLevelType w:val="multilevel"/>
    <w:tmpl w:val="4DEA6954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C73518"/>
    <w:multiLevelType w:val="hybridMultilevel"/>
    <w:tmpl w:val="7B1C822E"/>
    <w:lvl w:ilvl="0" w:tplc="AC748CEE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3A650156"/>
    <w:multiLevelType w:val="hybridMultilevel"/>
    <w:tmpl w:val="8C08A9FA"/>
    <w:lvl w:ilvl="0" w:tplc="8A86CD8A">
      <w:start w:val="1"/>
      <w:numFmt w:val="lowerLetter"/>
      <w:lvlText w:val="%1)"/>
      <w:lvlJc w:val="left"/>
      <w:pPr>
        <w:ind w:left="938" w:hanging="360"/>
      </w:pPr>
      <w:rPr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B1A0353"/>
    <w:multiLevelType w:val="hybridMultilevel"/>
    <w:tmpl w:val="44AAC2A0"/>
    <w:lvl w:ilvl="0" w:tplc="0405000B">
      <w:start w:val="1"/>
      <w:numFmt w:val="bullet"/>
      <w:lvlText w:val=""/>
      <w:lvlJc w:val="left"/>
      <w:pPr>
        <w:ind w:left="938" w:hanging="360"/>
      </w:pPr>
      <w:rPr>
        <w:rFonts w:ascii="Wingdings" w:hAnsi="Wingdings" w:hint="default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7" w15:restartNumberingAfterBreak="0">
    <w:nsid w:val="3F2E047B"/>
    <w:multiLevelType w:val="hybridMultilevel"/>
    <w:tmpl w:val="EC064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46928"/>
    <w:multiLevelType w:val="hybridMultilevel"/>
    <w:tmpl w:val="0090D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A4E29"/>
    <w:multiLevelType w:val="hybridMultilevel"/>
    <w:tmpl w:val="734E0E5E"/>
    <w:lvl w:ilvl="0" w:tplc="FFFFFFFF">
      <w:start w:val="1"/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0" w15:restartNumberingAfterBreak="0">
    <w:nsid w:val="577026CB"/>
    <w:multiLevelType w:val="hybridMultilevel"/>
    <w:tmpl w:val="F4562306"/>
    <w:lvl w:ilvl="0" w:tplc="04050017">
      <w:start w:val="1"/>
      <w:numFmt w:val="lowerLetter"/>
      <w:lvlText w:val="%1)"/>
      <w:lvlJc w:val="left"/>
      <w:pPr>
        <w:ind w:left="1298" w:hanging="360"/>
      </w:pPr>
    </w:lvl>
    <w:lvl w:ilvl="1" w:tplc="04050019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1" w15:restartNumberingAfterBreak="0">
    <w:nsid w:val="57DD7C11"/>
    <w:multiLevelType w:val="hybridMultilevel"/>
    <w:tmpl w:val="D8444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B6F00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DF428ED"/>
    <w:multiLevelType w:val="hybridMultilevel"/>
    <w:tmpl w:val="833E40DA"/>
    <w:lvl w:ilvl="0" w:tplc="040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4" w15:restartNumberingAfterBreak="0">
    <w:nsid w:val="5F7E1F36"/>
    <w:multiLevelType w:val="hybridMultilevel"/>
    <w:tmpl w:val="273A5010"/>
    <w:lvl w:ilvl="0" w:tplc="FF2AACEC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60F4368D"/>
    <w:multiLevelType w:val="hybridMultilevel"/>
    <w:tmpl w:val="F19C9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2667F"/>
    <w:multiLevelType w:val="multilevel"/>
    <w:tmpl w:val="4DEA6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6F74FE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87A5A2A"/>
    <w:multiLevelType w:val="hybridMultilevel"/>
    <w:tmpl w:val="97E48FAE"/>
    <w:lvl w:ilvl="0" w:tplc="040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69EE1A08"/>
    <w:multiLevelType w:val="hybridMultilevel"/>
    <w:tmpl w:val="518E24B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724040DF"/>
    <w:multiLevelType w:val="hybridMultilevel"/>
    <w:tmpl w:val="090ECC4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587859"/>
    <w:multiLevelType w:val="hybridMultilevel"/>
    <w:tmpl w:val="B61A9140"/>
    <w:lvl w:ilvl="0" w:tplc="D68E9328">
      <w:start w:val="1"/>
      <w:numFmt w:val="lowerLetter"/>
      <w:lvlText w:val="%1)"/>
      <w:lvlJc w:val="left"/>
      <w:pPr>
        <w:ind w:left="938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2" w15:restartNumberingAfterBreak="0">
    <w:nsid w:val="78082149"/>
    <w:multiLevelType w:val="hybridMultilevel"/>
    <w:tmpl w:val="C22EFF28"/>
    <w:lvl w:ilvl="0" w:tplc="FFFFFFFF">
      <w:start w:val="3"/>
      <w:numFmt w:val="bullet"/>
      <w:lvlText w:val="–"/>
      <w:lvlJc w:val="left"/>
      <w:pPr>
        <w:ind w:left="1712" w:hanging="360"/>
      </w:pPr>
      <w:rPr>
        <w:rFonts w:ascii="Arial" w:eastAsiaTheme="minorHAnsi" w:hAnsi="Aria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5A6C5096">
      <w:start w:val="3"/>
      <w:numFmt w:val="bullet"/>
      <w:lvlText w:val="–"/>
      <w:lvlJc w:val="left"/>
      <w:pPr>
        <w:ind w:left="3872" w:hanging="360"/>
      </w:pPr>
      <w:rPr>
        <w:rFonts w:ascii="Arial" w:eastAsiaTheme="minorHAnsi" w:hAnsi="Aria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3" w15:restartNumberingAfterBreak="0">
    <w:nsid w:val="7D882ED9"/>
    <w:multiLevelType w:val="multilevel"/>
    <w:tmpl w:val="D2BABE8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E8D429B"/>
    <w:multiLevelType w:val="hybridMultilevel"/>
    <w:tmpl w:val="0D70F78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492985774">
    <w:abstractNumId w:val="2"/>
  </w:num>
  <w:num w:numId="2" w16cid:durableId="1737122334">
    <w:abstractNumId w:val="30"/>
  </w:num>
  <w:num w:numId="3" w16cid:durableId="1169907545">
    <w:abstractNumId w:val="7"/>
  </w:num>
  <w:num w:numId="4" w16cid:durableId="3408179">
    <w:abstractNumId w:val="22"/>
  </w:num>
  <w:num w:numId="5" w16cid:durableId="1163663969">
    <w:abstractNumId w:val="27"/>
  </w:num>
  <w:num w:numId="6" w16cid:durableId="1031801197">
    <w:abstractNumId w:val="11"/>
  </w:num>
  <w:num w:numId="7" w16cid:durableId="63259942">
    <w:abstractNumId w:val="3"/>
  </w:num>
  <w:num w:numId="8" w16cid:durableId="552272730">
    <w:abstractNumId w:val="24"/>
  </w:num>
  <w:num w:numId="9" w16cid:durableId="870532392">
    <w:abstractNumId w:val="31"/>
  </w:num>
  <w:num w:numId="10" w16cid:durableId="1593585502">
    <w:abstractNumId w:val="12"/>
  </w:num>
  <w:num w:numId="11" w16cid:durableId="1488937915">
    <w:abstractNumId w:val="4"/>
  </w:num>
  <w:num w:numId="12" w16cid:durableId="711418184">
    <w:abstractNumId w:val="15"/>
  </w:num>
  <w:num w:numId="13" w16cid:durableId="1573810585">
    <w:abstractNumId w:val="16"/>
  </w:num>
  <w:num w:numId="14" w16cid:durableId="488060854">
    <w:abstractNumId w:val="1"/>
  </w:num>
  <w:num w:numId="15" w16cid:durableId="1030688578">
    <w:abstractNumId w:val="14"/>
  </w:num>
  <w:num w:numId="16" w16cid:durableId="531722618">
    <w:abstractNumId w:val="17"/>
  </w:num>
  <w:num w:numId="17" w16cid:durableId="1455099103">
    <w:abstractNumId w:val="20"/>
  </w:num>
  <w:num w:numId="18" w16cid:durableId="1287080914">
    <w:abstractNumId w:val="34"/>
  </w:num>
  <w:num w:numId="19" w16cid:durableId="449472482">
    <w:abstractNumId w:val="29"/>
  </w:num>
  <w:num w:numId="20" w16cid:durableId="1729110739">
    <w:abstractNumId w:val="28"/>
  </w:num>
  <w:num w:numId="21" w16cid:durableId="1360742545">
    <w:abstractNumId w:val="10"/>
  </w:num>
  <w:num w:numId="22" w16cid:durableId="1389914058">
    <w:abstractNumId w:val="19"/>
  </w:num>
  <w:num w:numId="23" w16cid:durableId="1030371981">
    <w:abstractNumId w:val="33"/>
  </w:num>
  <w:num w:numId="24" w16cid:durableId="156846576">
    <w:abstractNumId w:val="23"/>
  </w:num>
  <w:num w:numId="25" w16cid:durableId="828138788">
    <w:abstractNumId w:val="26"/>
  </w:num>
  <w:num w:numId="26" w16cid:durableId="1240754613">
    <w:abstractNumId w:val="13"/>
  </w:num>
  <w:num w:numId="27" w16cid:durableId="1833376028">
    <w:abstractNumId w:val="8"/>
  </w:num>
  <w:num w:numId="28" w16cid:durableId="660695569">
    <w:abstractNumId w:val="5"/>
  </w:num>
  <w:num w:numId="29" w16cid:durableId="800222063">
    <w:abstractNumId w:val="32"/>
  </w:num>
  <w:num w:numId="30" w16cid:durableId="703754393">
    <w:abstractNumId w:val="25"/>
  </w:num>
  <w:num w:numId="31" w16cid:durableId="873275957">
    <w:abstractNumId w:val="6"/>
  </w:num>
  <w:num w:numId="32" w16cid:durableId="1592201574">
    <w:abstractNumId w:val="21"/>
  </w:num>
  <w:num w:numId="33" w16cid:durableId="491145442">
    <w:abstractNumId w:val="18"/>
  </w:num>
  <w:num w:numId="34" w16cid:durableId="1605305310">
    <w:abstractNumId w:val="0"/>
  </w:num>
  <w:num w:numId="35" w16cid:durableId="4288909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191"/>
    <w:rsid w:val="0018489D"/>
    <w:rsid w:val="00284B7D"/>
    <w:rsid w:val="00350EAB"/>
    <w:rsid w:val="003C7578"/>
    <w:rsid w:val="00581073"/>
    <w:rsid w:val="00751F14"/>
    <w:rsid w:val="0081735A"/>
    <w:rsid w:val="00C873E4"/>
    <w:rsid w:val="00D53191"/>
    <w:rsid w:val="00E42833"/>
    <w:rsid w:val="00EE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AAE6"/>
  <w15:chartTrackingRefBased/>
  <w15:docId w15:val="{0FF4A077-32D0-4AA0-8E6B-A949511B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191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D531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D531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D531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D531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531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531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D531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D531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D531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531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rsid w:val="00D531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D531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D5319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semiHidden/>
    <w:rsid w:val="00D5319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semiHidden/>
    <w:rsid w:val="00D5319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9"/>
    <w:rsid w:val="00D5319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D5319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semiHidden/>
    <w:rsid w:val="00D5319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99"/>
    <w:qFormat/>
    <w:rsid w:val="00D531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rsid w:val="00D53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31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531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531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53191"/>
    <w:rPr>
      <w:i/>
      <w:iCs/>
      <w:color w:val="404040" w:themeColor="text1" w:themeTint="BF"/>
    </w:rPr>
  </w:style>
  <w:style w:type="paragraph" w:styleId="Odstavecseseznamem">
    <w:name w:val="List Paragraph"/>
    <w:aliases w:val="Odrážky,Nad,List Paragraph,Odstavec cíl se seznamem,Odstavec se seznamem5,Odstavec_muj,NAKIT List Paragraph,Odstavec se seznamem a odrážkou,1 úroveň Odstavec se seznamem,List Paragraph (Czech Tourism),Reference List"/>
    <w:basedOn w:val="Normln"/>
    <w:link w:val="OdstavecseseznamemChar"/>
    <w:uiPriority w:val="34"/>
    <w:qFormat/>
    <w:rsid w:val="00D5319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5319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531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5319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53191"/>
    <w:rPr>
      <w:b/>
      <w:bCs/>
      <w:smallCaps/>
      <w:color w:val="2F5496" w:themeColor="accent1" w:themeShade="BF"/>
      <w:spacing w:val="5"/>
    </w:rPr>
  </w:style>
  <w:style w:type="paragraph" w:styleId="Adresanaoblku">
    <w:name w:val="envelope address"/>
    <w:basedOn w:val="Normln"/>
    <w:uiPriority w:val="99"/>
    <w:semiHidden/>
    <w:rsid w:val="00D53191"/>
    <w:pPr>
      <w:framePr w:w="7920" w:h="1980" w:hRule="exact" w:hSpace="141" w:wrap="auto" w:hAnchor="page" w:xAlign="center" w:yAlign="bottom"/>
      <w:ind w:left="2880"/>
    </w:pPr>
    <w:rPr>
      <w:rFonts w:ascii="Cambria" w:hAnsi="Cambria"/>
      <w:b/>
      <w:sz w:val="44"/>
    </w:rPr>
  </w:style>
  <w:style w:type="paragraph" w:styleId="Zkladntext">
    <w:name w:val="Body Text"/>
    <w:basedOn w:val="Normln"/>
    <w:link w:val="ZkladntextChar"/>
    <w:rsid w:val="00D53191"/>
    <w:pPr>
      <w:spacing w:after="120"/>
      <w:jc w:val="left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5319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Seznam">
    <w:name w:val="List"/>
    <w:basedOn w:val="Normln"/>
    <w:uiPriority w:val="99"/>
    <w:semiHidden/>
    <w:rsid w:val="00D53191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uiPriority w:val="99"/>
    <w:rsid w:val="00D53191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D53191"/>
    <w:pPr>
      <w:ind w:left="849" w:hanging="283"/>
      <w:contextualSpacing/>
    </w:pPr>
  </w:style>
  <w:style w:type="paragraph" w:styleId="Zhlav">
    <w:name w:val="header"/>
    <w:basedOn w:val="Normln"/>
    <w:link w:val="ZhlavChar"/>
    <w:rsid w:val="00D531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3191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D531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3191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Pokraovnseznamu3">
    <w:name w:val="List Continue 3"/>
    <w:basedOn w:val="Normln"/>
    <w:uiPriority w:val="99"/>
    <w:semiHidden/>
    <w:rsid w:val="00D53191"/>
    <w:pPr>
      <w:spacing w:after="120"/>
      <w:ind w:left="849"/>
      <w:contextualSpacing/>
    </w:pPr>
  </w:style>
  <w:style w:type="character" w:styleId="Odkaznakoment">
    <w:name w:val="annotation reference"/>
    <w:basedOn w:val="Standardnpsmoodstavce"/>
    <w:uiPriority w:val="99"/>
    <w:semiHidden/>
    <w:rsid w:val="00D5319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531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319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1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3191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rsid w:val="00D53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191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paragraph" w:styleId="Revize">
    <w:name w:val="Revision"/>
    <w:hidden/>
    <w:uiPriority w:val="99"/>
    <w:semiHidden/>
    <w:rsid w:val="00D531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cislovani1">
    <w:name w:val="cislovani 1"/>
    <w:basedOn w:val="Normln"/>
    <w:next w:val="Normln"/>
    <w:rsid w:val="00D53191"/>
    <w:pPr>
      <w:keepNext/>
      <w:numPr>
        <w:numId w:val="1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D53191"/>
    <w:pPr>
      <w:keepNext/>
      <w:numPr>
        <w:ilvl w:val="1"/>
        <w:numId w:val="1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D53191"/>
    <w:pPr>
      <w:numPr>
        <w:ilvl w:val="2"/>
        <w:numId w:val="1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D53191"/>
    <w:pPr>
      <w:numPr>
        <w:ilvl w:val="3"/>
        <w:numId w:val="1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D53191"/>
    <w:pPr>
      <w:numPr>
        <w:ilvl w:val="4"/>
        <w:numId w:val="1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D53191"/>
    <w:rPr>
      <w:color w:val="0000FF"/>
      <w:u w:val="single"/>
    </w:rPr>
  </w:style>
  <w:style w:type="paragraph" w:customStyle="1" w:styleId="Default">
    <w:name w:val="Default"/>
    <w:rsid w:val="00D5319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kern w:val="0"/>
      <w:sz w:val="24"/>
      <w:szCs w:val="24"/>
      <w14:ligatures w14:val="non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D5319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D53191"/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character" w:customStyle="1" w:styleId="WW8Num8z0">
    <w:name w:val="WW8Num8z0"/>
    <w:rsid w:val="00D53191"/>
    <w:rPr>
      <w:rFonts w:ascii="Wingdings" w:hAnsi="Wingdings"/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D53191"/>
  </w:style>
  <w:style w:type="table" w:customStyle="1" w:styleId="TableNormal">
    <w:name w:val="Table Normal"/>
    <w:rsid w:val="00D5319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cs-CZ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1">
    <w:name w:val="WW8Num5z1"/>
    <w:rsid w:val="00D53191"/>
    <w:rPr>
      <w:rFonts w:ascii="Courier New" w:hAnsi="Courier New" w:cs="Courier New"/>
    </w:rPr>
  </w:style>
  <w:style w:type="character" w:customStyle="1" w:styleId="OdstavecseseznamemChar">
    <w:name w:val="Odstavec se seznamem Char"/>
    <w:aliases w:val="Odrážky Char,Nad Char,List Paragraph Char,Odstavec cíl se seznamem Char,Odstavec se seznamem5 Char,Odstavec_muj Char,NAKIT List Paragraph Char,Odstavec se seznamem a odrážkou Char,1 úroveň Odstavec se seznamem Char"/>
    <w:link w:val="Odstavecseseznamem"/>
    <w:uiPriority w:val="34"/>
    <w:rsid w:val="00D53191"/>
  </w:style>
  <w:style w:type="table" w:styleId="Mkatabulky">
    <w:name w:val="Table Grid"/>
    <w:basedOn w:val="Normlntabulka"/>
    <w:rsid w:val="00D53191"/>
    <w:pPr>
      <w:spacing w:after="0" w:line="240" w:lineRule="auto"/>
    </w:pPr>
    <w:rPr>
      <w:rFonts w:ascii="Arial" w:eastAsia="Calibri" w:hAnsi="Arial" w:cs="Arial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2">
    <w:name w:val="WW8Num1z2"/>
    <w:uiPriority w:val="99"/>
    <w:rsid w:val="00D53191"/>
    <w:rPr>
      <w:rFonts w:ascii="Wingdings" w:hAnsi="Wingding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53191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D53191"/>
    <w:pPr>
      <w:numPr>
        <w:numId w:val="26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D53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1730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Motáková Jitka</dc:creator>
  <cp:keywords/>
  <dc:description/>
  <cp:lastModifiedBy>Moravcová Aneta</cp:lastModifiedBy>
  <cp:revision>4</cp:revision>
  <dcterms:created xsi:type="dcterms:W3CDTF">2025-02-06T10:59:00Z</dcterms:created>
  <dcterms:modified xsi:type="dcterms:W3CDTF">2025-08-07T10:40:00Z</dcterms:modified>
</cp:coreProperties>
</file>