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749181FF" w14:textId="77777777" w:rsidR="00F860FE" w:rsidRDefault="00F860FE" w:rsidP="00F860FE">
      <w:pPr>
        <w:spacing w:before="360" w:after="240"/>
        <w:jc w:val="center"/>
        <w:rPr>
          <w:b/>
          <w:bCs/>
          <w:sz w:val="22"/>
          <w:szCs w:val="22"/>
        </w:rPr>
      </w:pPr>
      <w:r w:rsidRPr="00F860FE">
        <w:rPr>
          <w:b/>
          <w:bCs/>
          <w:sz w:val="22"/>
          <w:szCs w:val="22"/>
        </w:rPr>
        <w:t>II/295 Hořejší Vrchlabí, stabilizace skalního svahu v km 10,500 - 10,550</w:t>
      </w:r>
    </w:p>
    <w:p w14:paraId="72E92930" w14:textId="5EF19297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21842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  <w:rsid w:val="00F8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10</cp:revision>
  <cp:lastPrinted>2015-11-12T04:35:00Z</cp:lastPrinted>
  <dcterms:created xsi:type="dcterms:W3CDTF">2017-10-02T14:30:00Z</dcterms:created>
  <dcterms:modified xsi:type="dcterms:W3CDTF">2025-10-21T10:08:00Z</dcterms:modified>
</cp:coreProperties>
</file>