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649A09E" w:rsidR="00A30FBD" w:rsidRPr="00542A76" w:rsidRDefault="00063CB2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63CB2">
              <w:rPr>
                <w:rFonts w:ascii="Arial" w:hAnsi="Arial" w:cs="Arial"/>
                <w:b/>
                <w:sz w:val="20"/>
                <w:szCs w:val="20"/>
              </w:rPr>
              <w:t>Snížení energetické náročnosti SOŠ a SOU Vocelova – Vážní – zpracování PD, EP, ZCHDZ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BA3103E" w:rsidR="00A30FBD" w:rsidRPr="00542A76" w:rsidRDefault="00245AF2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AF2">
              <w:rPr>
                <w:rFonts w:ascii="Arial" w:hAnsi="Arial" w:cs="Arial"/>
                <w:sz w:val="20"/>
                <w:szCs w:val="20"/>
              </w:rPr>
              <w:t>Střední odborná škola a Střední odborné učiliště, Hradec Králové, Vocelova 1338</w:t>
            </w:r>
            <w:r w:rsidR="005A206A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="006473E3" w:rsidRPr="006473E3">
              <w:rPr>
                <w:rFonts w:ascii="Arial" w:hAnsi="Arial" w:cs="Arial"/>
                <w:sz w:val="20"/>
                <w:szCs w:val="20"/>
              </w:rPr>
              <w:t>00175790</w:t>
            </w:r>
            <w:r w:rsidR="00FB4715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="00B6610E" w:rsidRPr="00B6610E">
              <w:rPr>
                <w:rFonts w:ascii="Arial" w:hAnsi="Arial" w:cs="Arial"/>
                <w:sz w:val="20"/>
                <w:szCs w:val="20"/>
              </w:rPr>
              <w:t>Vocelova 1338/2, Pražské Předměstí, 500 02 Hradec Králové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62988C52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5D7924A7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082FBF0E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3E4E79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3880FAFB" w:rsidR="00BA32BF" w:rsidRDefault="00BA32BF">
      <w:pPr>
        <w:rPr>
          <w:rFonts w:ascii="Arial" w:hAnsi="Arial" w:cs="Arial"/>
          <w:b/>
          <w:bCs/>
          <w:sz w:val="24"/>
          <w:szCs w:val="32"/>
        </w:rPr>
      </w:pP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lastRenderedPageBreak/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2D39F37B" w14:textId="77777777" w:rsidR="002319E7" w:rsidRDefault="002319E7">
      <w:pPr>
        <w:rPr>
          <w:rFonts w:ascii="Arial" w:eastAsia="Times New Roman" w:hAnsi="Arial" w:cs="Times New Roman"/>
          <w:b/>
          <w:sz w:val="32"/>
          <w:szCs w:val="20"/>
        </w:rPr>
      </w:pPr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67337E7D" w14:textId="3D52D173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511E12C0" w14:textId="3E497938" w:rsidR="0049630B" w:rsidRDefault="00227B0A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7B0A">
        <w:rPr>
          <w:rFonts w:ascii="Arial" w:hAnsi="Arial" w:cs="Arial"/>
          <w:b/>
          <w:sz w:val="20"/>
          <w:szCs w:val="20"/>
        </w:rPr>
        <w:t>Snížení energetické náročnosti SOŠ a SOU Vocelova – Vážní</w:t>
      </w:r>
    </w:p>
    <w:p w14:paraId="05905E61" w14:textId="77777777" w:rsidR="00227B0A" w:rsidRPr="004711A3" w:rsidRDefault="00227B0A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0145D874" w:rsidR="006B4FC1" w:rsidRPr="004711A3" w:rsidRDefault="006F384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384E">
        <w:rPr>
          <w:rFonts w:ascii="Arial" w:hAnsi="Arial" w:cs="Arial"/>
          <w:b/>
          <w:sz w:val="20"/>
          <w:szCs w:val="20"/>
        </w:rPr>
        <w:t>Snížení energetické náročnosti SOŠ a SOU Vocelova – Vážní – zpracování PD, EP, ZCHDZ</w:t>
      </w:r>
      <w:r w:rsidR="00E04D59" w:rsidRPr="00E04D59">
        <w:rPr>
          <w:rFonts w:ascii="Arial" w:hAnsi="Arial" w:cs="Arial"/>
          <w:b/>
          <w:sz w:val="20"/>
          <w:szCs w:val="20"/>
        </w:rPr>
        <w:t xml:space="preserve">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2A1B304" w14:textId="77777777" w:rsidR="002319E7" w:rsidRDefault="002319E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233E9332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B821" w14:textId="77777777" w:rsidR="002E5C71" w:rsidRDefault="002E5C71" w:rsidP="002002D1">
      <w:pPr>
        <w:spacing w:after="0" w:line="240" w:lineRule="auto"/>
      </w:pPr>
      <w:r>
        <w:separator/>
      </w:r>
    </w:p>
  </w:endnote>
  <w:endnote w:type="continuationSeparator" w:id="0">
    <w:p w14:paraId="2D72111C" w14:textId="77777777" w:rsidR="002E5C71" w:rsidRDefault="002E5C7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9D70" w14:textId="77777777" w:rsidR="002E5C71" w:rsidRDefault="002E5C71" w:rsidP="002002D1">
      <w:pPr>
        <w:spacing w:after="0" w:line="240" w:lineRule="auto"/>
      </w:pPr>
      <w:r>
        <w:separator/>
      </w:r>
    </w:p>
  </w:footnote>
  <w:footnote w:type="continuationSeparator" w:id="0">
    <w:p w14:paraId="590B2361" w14:textId="77777777" w:rsidR="002E5C71" w:rsidRDefault="002E5C71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4569FDAD" w:rsidR="00A30FBD" w:rsidRDefault="00A97341">
    <w:pPr>
      <w:pStyle w:val="Zhlav"/>
    </w:pPr>
    <w:r>
      <w:rPr>
        <w:b/>
        <w:noProof/>
      </w:rPr>
      <w:drawing>
        <wp:inline distT="0" distB="0" distL="0" distR="0" wp14:anchorId="0E35B47C" wp14:editId="3D59BC55">
          <wp:extent cx="2771775" cy="714375"/>
          <wp:effectExtent l="0" t="0" r="9525" b="9525"/>
          <wp:docPr id="1562848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0DF72ED8" wp14:editId="5ECCCFBC">
          <wp:extent cx="2657475" cy="752475"/>
          <wp:effectExtent l="0" t="0" r="9525" b="9525"/>
          <wp:docPr id="1467491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63CB2"/>
    <w:rsid w:val="000724C2"/>
    <w:rsid w:val="000745B1"/>
    <w:rsid w:val="00081846"/>
    <w:rsid w:val="00083E2F"/>
    <w:rsid w:val="000A1A8C"/>
    <w:rsid w:val="000A4DF6"/>
    <w:rsid w:val="000B4D0E"/>
    <w:rsid w:val="000E7B7A"/>
    <w:rsid w:val="00106D2E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2002D1"/>
    <w:rsid w:val="00227B0A"/>
    <w:rsid w:val="002319E7"/>
    <w:rsid w:val="00245AF2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E5C71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3E5A"/>
    <w:rsid w:val="003B6A5F"/>
    <w:rsid w:val="003C6047"/>
    <w:rsid w:val="003E2594"/>
    <w:rsid w:val="003E4E79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9630B"/>
    <w:rsid w:val="004A6FE3"/>
    <w:rsid w:val="004C3CA8"/>
    <w:rsid w:val="004C5B9C"/>
    <w:rsid w:val="004D7A76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8256D"/>
    <w:rsid w:val="00585FCC"/>
    <w:rsid w:val="005A071B"/>
    <w:rsid w:val="005A206A"/>
    <w:rsid w:val="005C12CB"/>
    <w:rsid w:val="005D6247"/>
    <w:rsid w:val="005E2A1D"/>
    <w:rsid w:val="005E5221"/>
    <w:rsid w:val="00612869"/>
    <w:rsid w:val="006473E3"/>
    <w:rsid w:val="00647F39"/>
    <w:rsid w:val="00650036"/>
    <w:rsid w:val="00657836"/>
    <w:rsid w:val="0066739E"/>
    <w:rsid w:val="006B4FC1"/>
    <w:rsid w:val="006C2DDC"/>
    <w:rsid w:val="006D411E"/>
    <w:rsid w:val="006F384E"/>
    <w:rsid w:val="006F5A81"/>
    <w:rsid w:val="006F7A5C"/>
    <w:rsid w:val="007034BF"/>
    <w:rsid w:val="007132F6"/>
    <w:rsid w:val="00740F56"/>
    <w:rsid w:val="00743A79"/>
    <w:rsid w:val="00766A85"/>
    <w:rsid w:val="00772608"/>
    <w:rsid w:val="00780F6D"/>
    <w:rsid w:val="00795AA4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474B"/>
    <w:rsid w:val="007E639A"/>
    <w:rsid w:val="007E6F70"/>
    <w:rsid w:val="007F08B2"/>
    <w:rsid w:val="00810230"/>
    <w:rsid w:val="00813E58"/>
    <w:rsid w:val="00865408"/>
    <w:rsid w:val="00866080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156AF"/>
    <w:rsid w:val="00923085"/>
    <w:rsid w:val="00935F3A"/>
    <w:rsid w:val="0096060F"/>
    <w:rsid w:val="00972FE0"/>
    <w:rsid w:val="00976161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1B0E"/>
    <w:rsid w:val="00A7313B"/>
    <w:rsid w:val="00A91F1E"/>
    <w:rsid w:val="00A97341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610E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5C2D"/>
    <w:rsid w:val="00C66DA3"/>
    <w:rsid w:val="00C77EBE"/>
    <w:rsid w:val="00C87BFE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A308C"/>
    <w:rsid w:val="00DB36CB"/>
    <w:rsid w:val="00DD2A32"/>
    <w:rsid w:val="00DD6EC7"/>
    <w:rsid w:val="00DE5A37"/>
    <w:rsid w:val="00DE61A8"/>
    <w:rsid w:val="00DF1278"/>
    <w:rsid w:val="00DF7A87"/>
    <w:rsid w:val="00E04D59"/>
    <w:rsid w:val="00E1066F"/>
    <w:rsid w:val="00E10EEB"/>
    <w:rsid w:val="00E349CC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1532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5</cp:revision>
  <dcterms:created xsi:type="dcterms:W3CDTF">2025-09-16T11:03:00Z</dcterms:created>
  <dcterms:modified xsi:type="dcterms:W3CDTF">2025-09-26T07:07:00Z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