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  <w:bookmarkStart w:id="0" w:name="_GoBack"/>
      <w:bookmarkEnd w:id="0"/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8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JIČÍNSKO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98373F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JC1 – JC28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JC1 – JC28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JC101 – JC106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413D66" w:rsidRDefault="00413D66" w:rsidP="00CE4B0E">
      <w:pPr>
        <w:rPr>
          <w:rFonts w:ascii="ArialMT" w:hAnsi="ArialMT" w:cs="ArialMT"/>
          <w:sz w:val="40"/>
          <w:szCs w:val="40"/>
        </w:rPr>
      </w:pPr>
    </w:p>
    <w:sectPr w:rsidR="00413D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4E289B"/>
    <w:rsid w:val="00560C02"/>
    <w:rsid w:val="00633CD3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pRneiQOFYpoDaaWYik326fqCAY4=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GH6th1yuy0ijkCsNmCsgYAGUTZc=</DigestValue>
    </Reference>
  </SignedInfo>
  <SignatureValue>TI8Q/hcRz5Bt4pGbWNRsDBdLH6QAQKvpwAZiQNdsjW5EZDgPtTRTvIsfPCSN/lvkMMPS+yiL7tBS
BM12CCFh48rqtxhobj4Fui/eE5gy4/1BjNyt2IlBWsYVWlEyUlc1Y71q1crUz7Fj3hocqc3CO4tp
/Z8zoJHWlHvnsCvKtATgXtQzj8e9G4Ld9tkpVk7EthaVwonsxBqdUdppaMqjSKRiMP0bKpzlY0xq
xBAebmN1hIeXX6Qv4h73A4LlTRA/V//WQMZZ3zYIQuoBuo6uPUe66S0F//1Rwy5dZSw/6X8oKfk3
wanQPDJncXD0BmmNOVeQqCcmATGDZZn+TqB12w==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JdmWQLpvaKEBB9P/4LbgrG/Vww4=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zuQUKcl8A0PWjMIPTQZhzAhCxXc=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2015-10-07T08:52:53Z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2015-10-07T08:52:53Z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2015-10-02T08:56:00Z</dcterms:modified>
</cp:coreProperties>
</file>