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4B4526CC" w:rsidR="00C84DDD" w:rsidRPr="004E39F1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„</w:t>
      </w:r>
      <w:r w:rsidR="000113C1">
        <w:rPr>
          <w:rFonts w:asciiTheme="minorHAnsi" w:hAnsiTheme="minorHAnsi" w:cstheme="minorHAnsi"/>
          <w:b/>
          <w:bCs/>
          <w:color w:val="0070C0"/>
          <w:sz w:val="26"/>
          <w:szCs w:val="26"/>
        </w:rPr>
        <w:t>Pořízení mobilních telefonů</w:t>
      </w: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“</w:t>
      </w:r>
    </w:p>
    <w:p w14:paraId="1650B940" w14:textId="77777777" w:rsidR="00C84DDD" w:rsidRPr="004E39F1" w:rsidRDefault="00C84DDD" w:rsidP="00C7443B">
      <w:pPr>
        <w:spacing w:after="0" w:line="240" w:lineRule="auto"/>
        <w:rPr>
          <w:rFonts w:asciiTheme="minorHAnsi" w:hAnsiTheme="minorHAnsi" w:cstheme="minorHAnsi"/>
        </w:rPr>
      </w:pPr>
    </w:p>
    <w:p w14:paraId="6A131B19" w14:textId="77777777" w:rsidR="00620961" w:rsidRPr="004E39F1" w:rsidRDefault="00620961" w:rsidP="00620961">
      <w:pPr>
        <w:spacing w:after="0" w:line="240" w:lineRule="auto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požaduje dodávku nového, nepoužitého přístroje a jejích částí. Nepřipouští možnost dodávky repasovaných přístrojů nebo jejich částí.</w:t>
      </w:r>
    </w:p>
    <w:p w14:paraId="7A0380F2" w14:textId="77777777" w:rsidR="00620961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akceptuje dodávku přístroje s tolerancí +/- 10 % od uvedených technických parametrů, pokud uchazeč v nabídce prokáže, že nabízené zařízení je vyhovující pro požadovaný medicínský účel, tj. diagnostické využití. Technické parametry označené jako minimální nebo maximální musí být dodrženy bez možnosti uplatnit toleranci.</w:t>
      </w:r>
    </w:p>
    <w:p w14:paraId="7D59CE6B" w14:textId="77777777" w:rsidR="000113C1" w:rsidRDefault="000113C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C456D00" w14:textId="1DE47071" w:rsidR="000113C1" w:rsidRPr="000113C1" w:rsidRDefault="000113C1" w:rsidP="00620961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0113C1">
        <w:rPr>
          <w:rFonts w:asciiTheme="minorHAnsi" w:hAnsiTheme="minorHAnsi" w:cstheme="minorHAnsi"/>
          <w:b/>
          <w:bCs/>
          <w:u w:val="single"/>
        </w:rPr>
        <w:t>Pozn.:</w:t>
      </w:r>
      <w:r>
        <w:rPr>
          <w:rFonts w:asciiTheme="minorHAnsi" w:hAnsiTheme="minorHAnsi" w:cstheme="minorHAnsi"/>
        </w:rPr>
        <w:t xml:space="preserve"> </w:t>
      </w:r>
      <w:r w:rsidRPr="000113C1">
        <w:rPr>
          <w:rFonts w:asciiTheme="minorHAnsi" w:hAnsiTheme="minorHAnsi" w:cstheme="minorHAnsi"/>
          <w:b/>
          <w:bCs/>
          <w:i/>
          <w:iCs/>
        </w:rPr>
        <w:t xml:space="preserve">Pro účely této zadávací dokumentace je jako referenční uveden mobilní telefon Samsung </w:t>
      </w:r>
      <w:proofErr w:type="spellStart"/>
      <w:r w:rsidRPr="000113C1">
        <w:rPr>
          <w:rFonts w:asciiTheme="minorHAnsi" w:hAnsiTheme="minorHAnsi" w:cstheme="minorHAnsi"/>
          <w:b/>
          <w:bCs/>
          <w:i/>
          <w:iCs/>
        </w:rPr>
        <w:t>Galaxy</w:t>
      </w:r>
      <w:proofErr w:type="spellEnd"/>
      <w:r w:rsidRPr="000113C1">
        <w:rPr>
          <w:rFonts w:asciiTheme="minorHAnsi" w:hAnsiTheme="minorHAnsi" w:cstheme="minorHAnsi"/>
          <w:b/>
          <w:bCs/>
          <w:i/>
          <w:iCs/>
        </w:rPr>
        <w:t xml:space="preserve"> A16 (4 GB RAM, 128 GB úložiště, EU distribuce). Dodavatel je povinen nabídnout výrobek, který splňuje minimálně následující závazné parametry (viz. níže tabulka).</w:t>
      </w:r>
    </w:p>
    <w:p w14:paraId="3095D61D" w14:textId="77777777" w:rsidR="000113C1" w:rsidRDefault="000113C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A3BBDA2" w14:textId="1B9AB4A5" w:rsidR="000113C1" w:rsidRPr="000113C1" w:rsidRDefault="000113C1" w:rsidP="00620961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0113C1">
        <w:rPr>
          <w:rFonts w:asciiTheme="minorHAnsi" w:hAnsiTheme="minorHAnsi" w:cstheme="minorHAnsi"/>
          <w:u w:val="single"/>
        </w:rPr>
        <w:t>Dodavatel vyplní: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0113C1" w14:paraId="055D7B84" w14:textId="77777777" w:rsidTr="00AF28E3">
        <w:tc>
          <w:tcPr>
            <w:tcW w:w="9629" w:type="dxa"/>
            <w:gridSpan w:val="2"/>
            <w:shd w:val="clear" w:color="auto" w:fill="C6D9F1" w:themeFill="text2" w:themeFillTint="33"/>
          </w:tcPr>
          <w:p w14:paraId="2FAC7050" w14:textId="332246FD" w:rsidR="000113C1" w:rsidRPr="000113C1" w:rsidRDefault="000113C1" w:rsidP="00AF28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113C1">
              <w:rPr>
                <w:rFonts w:asciiTheme="minorHAnsi" w:hAnsiTheme="minorHAnsi" w:cstheme="minorHAnsi"/>
                <w:b/>
                <w:bCs/>
              </w:rPr>
              <w:t>Nabízený mobilní telefon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48 ks</w:t>
            </w:r>
          </w:p>
        </w:tc>
      </w:tr>
      <w:tr w:rsidR="000113C1" w14:paraId="117AB75F" w14:textId="77777777" w:rsidTr="000113C1">
        <w:tc>
          <w:tcPr>
            <w:tcW w:w="4814" w:type="dxa"/>
          </w:tcPr>
          <w:p w14:paraId="6E58313F" w14:textId="3257B36F" w:rsidR="000113C1" w:rsidRPr="000113C1" w:rsidRDefault="000113C1" w:rsidP="000113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113C1">
              <w:rPr>
                <w:rFonts w:asciiTheme="minorHAnsi" w:hAnsiTheme="minorHAnsi" w:cstheme="minorHAnsi"/>
                <w:b/>
                <w:bCs/>
              </w:rPr>
              <w:t>Výrobce</w:t>
            </w:r>
          </w:p>
        </w:tc>
        <w:tc>
          <w:tcPr>
            <w:tcW w:w="4815" w:type="dxa"/>
          </w:tcPr>
          <w:p w14:paraId="486623DD" w14:textId="55004808" w:rsidR="000113C1" w:rsidRPr="000113C1" w:rsidRDefault="000113C1" w:rsidP="000113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113C1">
              <w:rPr>
                <w:rFonts w:asciiTheme="minorHAnsi" w:hAnsiTheme="minorHAnsi" w:cstheme="minorHAnsi"/>
                <w:b/>
                <w:bCs/>
              </w:rPr>
              <w:t>Modelové označení</w:t>
            </w:r>
          </w:p>
        </w:tc>
      </w:tr>
      <w:tr w:rsidR="000113C1" w14:paraId="488E1D87" w14:textId="77777777" w:rsidTr="000113C1">
        <w:tc>
          <w:tcPr>
            <w:tcW w:w="4814" w:type="dxa"/>
            <w:shd w:val="clear" w:color="auto" w:fill="FFFF00"/>
          </w:tcPr>
          <w:p w14:paraId="2BD96213" w14:textId="7DB1742C" w:rsidR="000113C1" w:rsidRPr="000113C1" w:rsidRDefault="000113C1" w:rsidP="000113C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(vyplní dodavatel)</w:t>
            </w:r>
          </w:p>
        </w:tc>
        <w:tc>
          <w:tcPr>
            <w:tcW w:w="4815" w:type="dxa"/>
            <w:shd w:val="clear" w:color="auto" w:fill="FFFF00"/>
          </w:tcPr>
          <w:p w14:paraId="4D942CF9" w14:textId="53554EB9" w:rsidR="000113C1" w:rsidRPr="000113C1" w:rsidRDefault="000113C1" w:rsidP="000113C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0113C1">
              <w:rPr>
                <w:rFonts w:asciiTheme="minorHAnsi" w:hAnsiTheme="minorHAnsi" w:cstheme="minorHAnsi"/>
                <w:i/>
                <w:iCs/>
              </w:rPr>
              <w:t>(vyplní dodavatel)</w:t>
            </w:r>
          </w:p>
        </w:tc>
      </w:tr>
      <w:tr w:rsidR="000113C1" w14:paraId="6DA2B35C" w14:textId="77777777" w:rsidTr="000113C1">
        <w:tc>
          <w:tcPr>
            <w:tcW w:w="4814" w:type="dxa"/>
          </w:tcPr>
          <w:p w14:paraId="0F0FB26A" w14:textId="35759DC0" w:rsidR="000113C1" w:rsidRPr="000113C1" w:rsidRDefault="000113C1" w:rsidP="0062096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113C1">
              <w:rPr>
                <w:rFonts w:asciiTheme="minorHAnsi" w:hAnsiTheme="minorHAnsi" w:cstheme="minorHAnsi"/>
                <w:b/>
                <w:bCs/>
              </w:rPr>
              <w:t>Cena za 1 ks mobilního telefonu v Kč bez DPH</w:t>
            </w:r>
          </w:p>
        </w:tc>
        <w:tc>
          <w:tcPr>
            <w:tcW w:w="4815" w:type="dxa"/>
            <w:shd w:val="clear" w:color="auto" w:fill="FFFF00"/>
          </w:tcPr>
          <w:p w14:paraId="683C5556" w14:textId="41AC2012" w:rsidR="000113C1" w:rsidRPr="000113C1" w:rsidRDefault="000113C1" w:rsidP="000113C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0113C1">
              <w:rPr>
                <w:rFonts w:asciiTheme="minorHAnsi" w:hAnsiTheme="minorHAnsi" w:cstheme="minorHAnsi"/>
                <w:i/>
                <w:iCs/>
              </w:rPr>
              <w:t>(vyplní dodavatel)</w:t>
            </w:r>
          </w:p>
        </w:tc>
      </w:tr>
      <w:tr w:rsidR="000113C1" w14:paraId="7AD47D6F" w14:textId="77777777" w:rsidTr="000113C1">
        <w:tc>
          <w:tcPr>
            <w:tcW w:w="4814" w:type="dxa"/>
          </w:tcPr>
          <w:p w14:paraId="05326BE0" w14:textId="24FBF1B6" w:rsidR="000113C1" w:rsidRPr="000113C1" w:rsidRDefault="000113C1" w:rsidP="0062096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Cena za 48 ks mobilních telefonů v Kč bez DPH</w:t>
            </w:r>
          </w:p>
        </w:tc>
        <w:tc>
          <w:tcPr>
            <w:tcW w:w="4815" w:type="dxa"/>
            <w:shd w:val="clear" w:color="auto" w:fill="FFFF00"/>
          </w:tcPr>
          <w:p w14:paraId="7A611E4E" w14:textId="6BD0766E" w:rsidR="000113C1" w:rsidRPr="000113C1" w:rsidRDefault="000113C1" w:rsidP="000113C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(vyplní dodavatel)</w:t>
            </w:r>
          </w:p>
        </w:tc>
      </w:tr>
      <w:tr w:rsidR="000113C1" w14:paraId="2D98F850" w14:textId="77777777" w:rsidTr="000113C1">
        <w:tc>
          <w:tcPr>
            <w:tcW w:w="4814" w:type="dxa"/>
          </w:tcPr>
          <w:p w14:paraId="5E339480" w14:textId="30E76FF0" w:rsidR="000113C1" w:rsidRDefault="000113C1" w:rsidP="0062096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DPH</w:t>
            </w:r>
            <w:r w:rsidR="00AF28E3">
              <w:rPr>
                <w:rFonts w:asciiTheme="minorHAnsi" w:hAnsiTheme="minorHAnsi" w:cstheme="minorHAnsi"/>
                <w:b/>
                <w:bCs/>
              </w:rPr>
              <w:t xml:space="preserve"> v %</w:t>
            </w:r>
          </w:p>
        </w:tc>
        <w:tc>
          <w:tcPr>
            <w:tcW w:w="4815" w:type="dxa"/>
            <w:shd w:val="clear" w:color="auto" w:fill="FFFF00"/>
          </w:tcPr>
          <w:p w14:paraId="7BD4CBBC" w14:textId="1DE94CB9" w:rsidR="00AF28E3" w:rsidRDefault="00AF28E3" w:rsidP="00AF28E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(vyplní dodavatel)</w:t>
            </w:r>
          </w:p>
        </w:tc>
      </w:tr>
      <w:tr w:rsidR="00AF28E3" w14:paraId="21B07651" w14:textId="77777777" w:rsidTr="000113C1">
        <w:tc>
          <w:tcPr>
            <w:tcW w:w="4814" w:type="dxa"/>
          </w:tcPr>
          <w:p w14:paraId="479F595A" w14:textId="4D188E5A" w:rsidR="00AF28E3" w:rsidRDefault="00AF28E3" w:rsidP="0062096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Cena za 48 ks mobilních telefonů v Kč vč. DPH</w:t>
            </w:r>
          </w:p>
        </w:tc>
        <w:tc>
          <w:tcPr>
            <w:tcW w:w="4815" w:type="dxa"/>
            <w:shd w:val="clear" w:color="auto" w:fill="FFFF00"/>
          </w:tcPr>
          <w:p w14:paraId="47339A3A" w14:textId="430C2430" w:rsidR="00AF28E3" w:rsidRDefault="00AF28E3" w:rsidP="00AF28E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(vyplní dodavatel)</w:t>
            </w:r>
          </w:p>
        </w:tc>
      </w:tr>
    </w:tbl>
    <w:p w14:paraId="5FD04BFF" w14:textId="77777777" w:rsidR="00D21817" w:rsidRPr="00C84DDD" w:rsidRDefault="00D21817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5"/>
        <w:gridCol w:w="1244"/>
        <w:gridCol w:w="3630"/>
      </w:tblGrid>
      <w:tr w:rsidR="003D61BE" w:rsidRPr="00C84DDD" w14:paraId="0B0689B1" w14:textId="6205BCD2" w:rsidTr="00AF28E3">
        <w:tc>
          <w:tcPr>
            <w:tcW w:w="2469" w:type="pct"/>
            <w:shd w:val="clear" w:color="auto" w:fill="C6D9F1" w:themeFill="text2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646" w:type="pct"/>
            <w:shd w:val="clear" w:color="auto" w:fill="C6D9F1" w:themeFill="text2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885" w:type="pct"/>
            <w:shd w:val="clear" w:color="auto" w:fill="C6D9F1" w:themeFill="text2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7B35A056" w14:textId="055661A5" w:rsidTr="00AF28E3">
        <w:tc>
          <w:tcPr>
            <w:tcW w:w="2469" w:type="pct"/>
            <w:shd w:val="clear" w:color="auto" w:fill="C6D9F1" w:themeFill="text2" w:themeFillTint="33"/>
          </w:tcPr>
          <w:p w14:paraId="14DCF1D1" w14:textId="1616F240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646" w:type="pct"/>
            <w:shd w:val="clear" w:color="auto" w:fill="C6D9F1" w:themeFill="text2" w:themeFillTint="33"/>
          </w:tcPr>
          <w:p w14:paraId="3794E08B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85" w:type="pct"/>
            <w:shd w:val="clear" w:color="auto" w:fill="C6D9F1" w:themeFill="text2" w:themeFillTint="33"/>
          </w:tcPr>
          <w:p w14:paraId="5DECB701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61BE" w:rsidRPr="00C84DDD" w14:paraId="4A5FD1E5" w14:textId="5D3586D1" w:rsidTr="00AF28E3">
        <w:tc>
          <w:tcPr>
            <w:tcW w:w="2469" w:type="pct"/>
            <w:vAlign w:val="center"/>
          </w:tcPr>
          <w:p w14:paraId="4EA27B44" w14:textId="1DAE43D2" w:rsidR="003D61BE" w:rsidRPr="0031002F" w:rsidRDefault="000113C1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Mobilní telefon s ochranným sklem, pouzdrem a nabíječkou</w:t>
            </w:r>
            <w:r w:rsidR="00C84DDD" w:rsidRPr="0031002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646" w:type="pct"/>
            <w:shd w:val="clear" w:color="auto" w:fill="FFFF00"/>
            <w:vAlign w:val="center"/>
          </w:tcPr>
          <w:p w14:paraId="21122613" w14:textId="25813649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885" w:type="pct"/>
            <w:shd w:val="clear" w:color="auto" w:fill="FFFF00"/>
            <w:vAlign w:val="center"/>
          </w:tcPr>
          <w:p w14:paraId="6981D784" w14:textId="35710135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0113C1" w:rsidRPr="00C84DDD" w14:paraId="76CA85A9" w14:textId="77777777" w:rsidTr="00AF28E3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D732E77" w14:textId="5F0E7BD2" w:rsidR="000113C1" w:rsidRPr="000113C1" w:rsidRDefault="000113C1" w:rsidP="000113C1">
            <w:pPr>
              <w:spacing w:after="0" w:line="240" w:lineRule="auto"/>
              <w:rPr>
                <w:rFonts w:asciiTheme="minorHAnsi" w:hAnsiTheme="minorHAnsi" w:cstheme="minorHAnsi"/>
                <w:b/>
                <w:highlight w:val="yellow"/>
              </w:rPr>
            </w:pPr>
            <w:r w:rsidRPr="000113C1">
              <w:rPr>
                <w:rFonts w:asciiTheme="minorHAnsi" w:hAnsiTheme="minorHAnsi" w:cstheme="minorHAnsi"/>
                <w:b/>
              </w:rPr>
              <w:t>Základní parametry</w:t>
            </w:r>
          </w:p>
        </w:tc>
      </w:tr>
      <w:tr w:rsidR="007B150D" w:rsidRPr="00C84DDD" w14:paraId="071560F0" w14:textId="77777777" w:rsidTr="00AF28E3">
        <w:tc>
          <w:tcPr>
            <w:tcW w:w="2469" w:type="pct"/>
            <w:vAlign w:val="center"/>
          </w:tcPr>
          <w:p w14:paraId="37083F6B" w14:textId="77777777" w:rsidR="00AF28E3" w:rsidRP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F28E3">
              <w:rPr>
                <w:rFonts w:asciiTheme="minorHAnsi" w:hAnsiTheme="minorHAnsi" w:cstheme="minorHAnsi"/>
                <w:bCs/>
              </w:rPr>
              <w:t>Displej 6,7" Super AMOLED, 2340 × 1080 px (FHD+), 90 Hz</w:t>
            </w:r>
          </w:p>
          <w:p w14:paraId="759BBC73" w14:textId="04056C11" w:rsidR="007B150D" w:rsidRDefault="007B150D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46" w:type="pct"/>
            <w:shd w:val="clear" w:color="auto" w:fill="FFFF00"/>
            <w:vAlign w:val="center"/>
          </w:tcPr>
          <w:p w14:paraId="729985CE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885" w:type="pct"/>
            <w:shd w:val="clear" w:color="auto" w:fill="FFFF00"/>
            <w:vAlign w:val="center"/>
          </w:tcPr>
          <w:p w14:paraId="06AF1DC2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D81A3C" w:rsidRPr="00C84DDD" w14:paraId="282854B0" w14:textId="21723659" w:rsidTr="00AF28E3">
        <w:tc>
          <w:tcPr>
            <w:tcW w:w="2469" w:type="pct"/>
            <w:vAlign w:val="center"/>
          </w:tcPr>
          <w:p w14:paraId="447D6768" w14:textId="77777777" w:rsidR="00AF28E3" w:rsidRP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F28E3">
              <w:rPr>
                <w:rFonts w:asciiTheme="minorHAnsi" w:hAnsiTheme="minorHAnsi" w:cstheme="minorHAnsi"/>
                <w:bCs/>
              </w:rPr>
              <w:t>Procesor (CPU) osmijádrový 2Ghz nebo výkonově ekvivalentní</w:t>
            </w:r>
          </w:p>
          <w:p w14:paraId="08CC7EC7" w14:textId="5F0F8C49" w:rsidR="00D81A3C" w:rsidRPr="00AF28E3" w:rsidRDefault="00D81A3C" w:rsidP="00D81A3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46" w:type="pct"/>
            <w:shd w:val="clear" w:color="auto" w:fill="FFFF00"/>
            <w:vAlign w:val="center"/>
          </w:tcPr>
          <w:p w14:paraId="6BAC8058" w14:textId="690C6090" w:rsidR="00D81A3C" w:rsidRPr="00C84DDD" w:rsidRDefault="00D81A3C" w:rsidP="00D81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85" w:type="pct"/>
            <w:shd w:val="clear" w:color="auto" w:fill="FFFF00"/>
            <w:vAlign w:val="center"/>
          </w:tcPr>
          <w:p w14:paraId="359BB6CB" w14:textId="4B481044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81A3C" w:rsidRPr="00C84DDD" w14:paraId="0632F7DD" w14:textId="77777777" w:rsidTr="00AF28E3">
        <w:tc>
          <w:tcPr>
            <w:tcW w:w="2469" w:type="pct"/>
            <w:vAlign w:val="center"/>
          </w:tcPr>
          <w:p w14:paraId="28A06094" w14:textId="77777777" w:rsidR="00AF28E3" w:rsidRP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F28E3">
              <w:rPr>
                <w:rFonts w:asciiTheme="minorHAnsi" w:hAnsiTheme="minorHAnsi" w:cstheme="minorHAnsi"/>
                <w:bCs/>
              </w:rPr>
              <w:t>velikost RAM min. 4 GB</w:t>
            </w:r>
          </w:p>
          <w:p w14:paraId="53E4A7B6" w14:textId="7285C19F" w:rsidR="00D81A3C" w:rsidRPr="00AF28E3" w:rsidRDefault="00D81A3C" w:rsidP="00D81A3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46" w:type="pct"/>
            <w:shd w:val="clear" w:color="auto" w:fill="FFFF00"/>
            <w:vAlign w:val="center"/>
          </w:tcPr>
          <w:p w14:paraId="0602E543" w14:textId="1AE1708C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885" w:type="pct"/>
            <w:shd w:val="clear" w:color="auto" w:fill="FFFF00"/>
            <w:vAlign w:val="center"/>
          </w:tcPr>
          <w:p w14:paraId="3821DD48" w14:textId="26A4DB85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AF28E3" w:rsidRPr="00C84DDD" w14:paraId="3E407B6E" w14:textId="7B4898ED" w:rsidTr="00AF28E3">
        <w:tc>
          <w:tcPr>
            <w:tcW w:w="2469" w:type="pct"/>
            <w:vAlign w:val="center"/>
          </w:tcPr>
          <w:p w14:paraId="5FD937B7" w14:textId="77777777" w:rsid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F28E3">
              <w:rPr>
                <w:rFonts w:asciiTheme="minorHAnsi" w:hAnsiTheme="minorHAnsi" w:cstheme="minorHAnsi"/>
                <w:bCs/>
              </w:rPr>
              <w:t>kapacita vnitřního úložiště min. 128 GB</w:t>
            </w:r>
          </w:p>
          <w:p w14:paraId="39604B96" w14:textId="1A541D90" w:rsidR="00AF28E3" w:rsidRP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46" w:type="pct"/>
            <w:shd w:val="clear" w:color="auto" w:fill="FFFF00"/>
            <w:vAlign w:val="center"/>
          </w:tcPr>
          <w:p w14:paraId="67018DBB" w14:textId="55A7647A" w:rsidR="00AF28E3" w:rsidRPr="00C84DDD" w:rsidRDefault="00AF28E3" w:rsidP="00AF28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5" w:type="pct"/>
            <w:shd w:val="clear" w:color="auto" w:fill="FFFF00"/>
            <w:vAlign w:val="center"/>
          </w:tcPr>
          <w:p w14:paraId="2B1FBA81" w14:textId="1D86367D" w:rsidR="00AF28E3" w:rsidRPr="00C84DDD" w:rsidRDefault="00AF28E3" w:rsidP="00AF2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8E3" w:rsidRPr="00C84DDD" w14:paraId="593BD686" w14:textId="77777777" w:rsidTr="00AF28E3">
        <w:tc>
          <w:tcPr>
            <w:tcW w:w="2469" w:type="pct"/>
            <w:vAlign w:val="center"/>
          </w:tcPr>
          <w:p w14:paraId="7443C61B" w14:textId="77777777" w:rsid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F28E3">
              <w:rPr>
                <w:rFonts w:asciiTheme="minorHAnsi" w:hAnsiTheme="minorHAnsi" w:cstheme="minorHAnsi"/>
                <w:bCs/>
              </w:rPr>
              <w:t>Wi-Fi standard min. 802.11 a/b/g/n/</w:t>
            </w:r>
            <w:proofErr w:type="spellStart"/>
            <w:r w:rsidRPr="00AF28E3">
              <w:rPr>
                <w:rFonts w:asciiTheme="minorHAnsi" w:hAnsiTheme="minorHAnsi" w:cstheme="minorHAnsi"/>
                <w:bCs/>
              </w:rPr>
              <w:t>ac</w:t>
            </w:r>
            <w:proofErr w:type="spellEnd"/>
          </w:p>
          <w:p w14:paraId="4076B767" w14:textId="27FEED90" w:rsidR="00AF28E3" w:rsidRP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46" w:type="pct"/>
            <w:shd w:val="clear" w:color="auto" w:fill="FFFF00"/>
            <w:vAlign w:val="center"/>
          </w:tcPr>
          <w:p w14:paraId="2566CB3A" w14:textId="77777777" w:rsidR="00AF28E3" w:rsidRPr="00C84DDD" w:rsidRDefault="00AF28E3" w:rsidP="00AF28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5" w:type="pct"/>
            <w:shd w:val="clear" w:color="auto" w:fill="FFFF00"/>
            <w:vAlign w:val="center"/>
          </w:tcPr>
          <w:p w14:paraId="738F3D9E" w14:textId="77777777" w:rsidR="00AF28E3" w:rsidRPr="00C84DDD" w:rsidRDefault="00AF28E3" w:rsidP="00AF2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8E3" w:rsidRPr="00C84DDD" w14:paraId="43C28A85" w14:textId="77777777" w:rsidTr="00AF28E3">
        <w:tc>
          <w:tcPr>
            <w:tcW w:w="2469" w:type="pct"/>
            <w:vAlign w:val="center"/>
          </w:tcPr>
          <w:p w14:paraId="052E8E0C" w14:textId="77777777" w:rsid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F28E3">
              <w:rPr>
                <w:rFonts w:asciiTheme="minorHAnsi" w:hAnsiTheme="minorHAnsi" w:cstheme="minorHAnsi"/>
                <w:bCs/>
              </w:rPr>
              <w:t xml:space="preserve">kapacita baterie min. 5000 </w:t>
            </w:r>
            <w:proofErr w:type="spellStart"/>
            <w:r w:rsidRPr="00AF28E3">
              <w:rPr>
                <w:rFonts w:asciiTheme="minorHAnsi" w:hAnsiTheme="minorHAnsi" w:cstheme="minorHAnsi"/>
                <w:bCs/>
              </w:rPr>
              <w:t>mAh</w:t>
            </w:r>
            <w:proofErr w:type="spellEnd"/>
          </w:p>
          <w:p w14:paraId="55206837" w14:textId="79EC7564" w:rsidR="00AF28E3" w:rsidRP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46" w:type="pct"/>
            <w:shd w:val="clear" w:color="auto" w:fill="FFFF00"/>
            <w:vAlign w:val="center"/>
          </w:tcPr>
          <w:p w14:paraId="574AFB64" w14:textId="11C69050" w:rsidR="00AF28E3" w:rsidRPr="00C84DDD" w:rsidRDefault="00AF28E3" w:rsidP="00AF28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885" w:type="pct"/>
            <w:shd w:val="clear" w:color="auto" w:fill="FFFF00"/>
            <w:vAlign w:val="center"/>
          </w:tcPr>
          <w:p w14:paraId="729B1D5E" w14:textId="40E52397" w:rsidR="00AF28E3" w:rsidRPr="00C84DDD" w:rsidRDefault="00AF28E3" w:rsidP="00AF2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AF28E3" w:rsidRPr="00C84DDD" w14:paraId="0FB1BEDD" w14:textId="3C6538F9" w:rsidTr="00AF28E3">
        <w:tc>
          <w:tcPr>
            <w:tcW w:w="2469" w:type="pct"/>
            <w:vAlign w:val="center"/>
          </w:tcPr>
          <w:p w14:paraId="77E82D56" w14:textId="77777777" w:rsid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F28E3">
              <w:rPr>
                <w:rFonts w:asciiTheme="minorHAnsi" w:hAnsiTheme="minorHAnsi" w:cstheme="minorHAnsi"/>
                <w:bCs/>
              </w:rPr>
              <w:t>konektor USB-C</w:t>
            </w:r>
          </w:p>
          <w:p w14:paraId="39551274" w14:textId="7F60737D" w:rsidR="00AF28E3" w:rsidRP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46" w:type="pct"/>
            <w:shd w:val="clear" w:color="auto" w:fill="FFFF00"/>
            <w:vAlign w:val="center"/>
          </w:tcPr>
          <w:p w14:paraId="0D7A3E43" w14:textId="099B076F" w:rsidR="00AF28E3" w:rsidRPr="00C84DDD" w:rsidRDefault="00AF28E3" w:rsidP="00AF28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5" w:type="pct"/>
            <w:shd w:val="clear" w:color="auto" w:fill="FFFF00"/>
            <w:vAlign w:val="center"/>
          </w:tcPr>
          <w:p w14:paraId="12476B99" w14:textId="31932AF4" w:rsidR="00AF28E3" w:rsidRPr="00C84DDD" w:rsidRDefault="00AF28E3" w:rsidP="00AF2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8E3" w:rsidRPr="00C84DDD" w14:paraId="0731FA80" w14:textId="58F77677" w:rsidTr="00AF28E3">
        <w:tc>
          <w:tcPr>
            <w:tcW w:w="2469" w:type="pct"/>
            <w:vAlign w:val="center"/>
          </w:tcPr>
          <w:p w14:paraId="69493AC9" w14:textId="77777777" w:rsid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F28E3">
              <w:rPr>
                <w:rFonts w:asciiTheme="minorHAnsi" w:hAnsiTheme="minorHAnsi" w:cstheme="minorHAnsi"/>
                <w:bCs/>
              </w:rPr>
              <w:t xml:space="preserve">Fotoaparát zadní: 50 </w:t>
            </w:r>
            <w:proofErr w:type="spellStart"/>
            <w:r w:rsidRPr="00AF28E3">
              <w:rPr>
                <w:rFonts w:asciiTheme="minorHAnsi" w:hAnsiTheme="minorHAnsi" w:cstheme="minorHAnsi"/>
                <w:bCs/>
              </w:rPr>
              <w:t>Mpx</w:t>
            </w:r>
            <w:proofErr w:type="spellEnd"/>
            <w:r w:rsidRPr="00AF28E3">
              <w:rPr>
                <w:rFonts w:asciiTheme="minorHAnsi" w:hAnsiTheme="minorHAnsi" w:cstheme="minorHAnsi"/>
                <w:bCs/>
              </w:rPr>
              <w:t xml:space="preserve"> (f/1,8) + 2 </w:t>
            </w:r>
            <w:proofErr w:type="spellStart"/>
            <w:r w:rsidRPr="00AF28E3">
              <w:rPr>
                <w:rFonts w:asciiTheme="minorHAnsi" w:hAnsiTheme="minorHAnsi" w:cstheme="minorHAnsi"/>
                <w:bCs/>
              </w:rPr>
              <w:t>Mpx</w:t>
            </w:r>
            <w:proofErr w:type="spellEnd"/>
            <w:r w:rsidRPr="00AF28E3">
              <w:rPr>
                <w:rFonts w:asciiTheme="minorHAnsi" w:hAnsiTheme="minorHAnsi" w:cstheme="minorHAnsi"/>
                <w:bCs/>
              </w:rPr>
              <w:t xml:space="preserve">; přední: 13 </w:t>
            </w:r>
            <w:proofErr w:type="spellStart"/>
            <w:r w:rsidRPr="00AF28E3">
              <w:rPr>
                <w:rFonts w:asciiTheme="minorHAnsi" w:hAnsiTheme="minorHAnsi" w:cstheme="minorHAnsi"/>
                <w:bCs/>
              </w:rPr>
              <w:t>Mpx</w:t>
            </w:r>
            <w:proofErr w:type="spellEnd"/>
          </w:p>
          <w:p w14:paraId="73686685" w14:textId="2E0643C9" w:rsidR="00AF28E3" w:rsidRP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46" w:type="pct"/>
            <w:shd w:val="clear" w:color="auto" w:fill="FFFF00"/>
            <w:vAlign w:val="center"/>
          </w:tcPr>
          <w:p w14:paraId="689F61B5" w14:textId="1B78F3E9" w:rsidR="00AF28E3" w:rsidRPr="00C84DDD" w:rsidRDefault="00AF28E3" w:rsidP="00AF28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5" w:type="pct"/>
            <w:shd w:val="clear" w:color="auto" w:fill="FFFF00"/>
            <w:vAlign w:val="center"/>
          </w:tcPr>
          <w:p w14:paraId="2888A1AD" w14:textId="75E396F9" w:rsidR="00AF28E3" w:rsidRPr="00C84DDD" w:rsidRDefault="00AF28E3" w:rsidP="00AF2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8E3" w:rsidRPr="00C84DDD" w14:paraId="30D159F3" w14:textId="77777777" w:rsidTr="00AF28E3">
        <w:tc>
          <w:tcPr>
            <w:tcW w:w="2469" w:type="pct"/>
            <w:vAlign w:val="center"/>
          </w:tcPr>
          <w:p w14:paraId="60794B93" w14:textId="77777777" w:rsid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F28E3">
              <w:rPr>
                <w:rFonts w:asciiTheme="minorHAnsi" w:hAnsiTheme="minorHAnsi" w:cstheme="minorHAnsi"/>
                <w:bCs/>
              </w:rPr>
              <w:lastRenderedPageBreak/>
              <w:t>Operační systém: Android (aktuální stabilní verze v době dodání, lokalizace CZ)</w:t>
            </w:r>
          </w:p>
          <w:p w14:paraId="543B081F" w14:textId="41635182" w:rsidR="00AF28E3" w:rsidRP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46" w:type="pct"/>
            <w:shd w:val="clear" w:color="auto" w:fill="FFFF00"/>
            <w:vAlign w:val="center"/>
          </w:tcPr>
          <w:p w14:paraId="77B377E2" w14:textId="37CAE0F3" w:rsidR="00AF28E3" w:rsidRPr="00C84DDD" w:rsidRDefault="00AF28E3" w:rsidP="00AF28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885" w:type="pct"/>
            <w:shd w:val="clear" w:color="auto" w:fill="FFFF00"/>
            <w:vAlign w:val="center"/>
          </w:tcPr>
          <w:p w14:paraId="3B0B0526" w14:textId="71C211E6" w:rsidR="00AF28E3" w:rsidRPr="00C84DDD" w:rsidRDefault="00AF28E3" w:rsidP="00AF2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AF28E3" w:rsidRPr="00C84DDD" w14:paraId="1B49561B" w14:textId="77777777" w:rsidTr="00AF28E3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5F6AB25C" w14:textId="3C6CFF95" w:rsidR="00AF28E3" w:rsidRPr="00AF28E3" w:rsidRDefault="00AF28E3" w:rsidP="00AF28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  <w:r w:rsidRPr="00AF28E3">
              <w:rPr>
                <w:rFonts w:asciiTheme="minorHAnsi" w:hAnsiTheme="minorHAnsi" w:cstheme="minorHAnsi"/>
                <w:b/>
              </w:rPr>
              <w:t>Příslušenství (součást dodávky)</w:t>
            </w:r>
          </w:p>
        </w:tc>
      </w:tr>
      <w:tr w:rsidR="00AF28E3" w:rsidRPr="00C84DDD" w14:paraId="34E64351" w14:textId="77DE34B6" w:rsidTr="00AF28E3">
        <w:tc>
          <w:tcPr>
            <w:tcW w:w="2469" w:type="pct"/>
            <w:vAlign w:val="center"/>
          </w:tcPr>
          <w:p w14:paraId="25DF9B2B" w14:textId="77777777" w:rsid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F28E3">
              <w:rPr>
                <w:rFonts w:asciiTheme="minorHAnsi" w:hAnsiTheme="minorHAnsi" w:cstheme="minorHAnsi"/>
                <w:bCs/>
              </w:rPr>
              <w:t>ochranné sklo (nalepeno nebo samostatně v balení)</w:t>
            </w:r>
          </w:p>
          <w:p w14:paraId="0C019CBA" w14:textId="368DCE3A" w:rsidR="00AF28E3" w:rsidRP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46" w:type="pct"/>
            <w:shd w:val="clear" w:color="auto" w:fill="FFFF00"/>
            <w:vAlign w:val="center"/>
          </w:tcPr>
          <w:p w14:paraId="0534D9A5" w14:textId="02CCD829" w:rsidR="00AF28E3" w:rsidRPr="00C84DDD" w:rsidRDefault="00AF28E3" w:rsidP="00AF28E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885" w:type="pct"/>
            <w:shd w:val="clear" w:color="auto" w:fill="FFFF00"/>
            <w:vAlign w:val="center"/>
          </w:tcPr>
          <w:p w14:paraId="229912DE" w14:textId="4E6E9341" w:rsidR="00AF28E3" w:rsidRPr="00C84DDD" w:rsidRDefault="00AF28E3" w:rsidP="00AF2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AF28E3" w:rsidRPr="00C84DDD" w14:paraId="6B588EB5" w14:textId="77777777" w:rsidTr="00AF28E3">
        <w:tc>
          <w:tcPr>
            <w:tcW w:w="2469" w:type="pct"/>
            <w:vAlign w:val="center"/>
          </w:tcPr>
          <w:p w14:paraId="3FC1F1E9" w14:textId="77777777" w:rsid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F28E3">
              <w:rPr>
                <w:rFonts w:asciiTheme="minorHAnsi" w:hAnsiTheme="minorHAnsi" w:cstheme="minorHAnsi"/>
                <w:bCs/>
              </w:rPr>
              <w:t>silikonové pouzdro na zadní stranu telefonu</w:t>
            </w:r>
          </w:p>
          <w:p w14:paraId="7B6FF15D" w14:textId="792D4ACD" w:rsidR="00AF28E3" w:rsidRP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46" w:type="pct"/>
            <w:shd w:val="clear" w:color="auto" w:fill="FFFF00"/>
            <w:vAlign w:val="center"/>
          </w:tcPr>
          <w:p w14:paraId="108B6430" w14:textId="77777777" w:rsidR="00AF28E3" w:rsidRPr="00C84DDD" w:rsidRDefault="00AF28E3" w:rsidP="00AF28E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885" w:type="pct"/>
            <w:shd w:val="clear" w:color="auto" w:fill="FFFF00"/>
            <w:vAlign w:val="center"/>
          </w:tcPr>
          <w:p w14:paraId="4E8F5263" w14:textId="77777777" w:rsidR="00AF28E3" w:rsidRPr="00C84DDD" w:rsidRDefault="00AF28E3" w:rsidP="00AF2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AF28E3" w:rsidRPr="00C84DDD" w14:paraId="714A357F" w14:textId="77777777" w:rsidTr="00AF28E3">
        <w:tc>
          <w:tcPr>
            <w:tcW w:w="2469" w:type="pct"/>
            <w:vAlign w:val="center"/>
          </w:tcPr>
          <w:p w14:paraId="1D9CEC8D" w14:textId="77777777" w:rsid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F28E3">
              <w:rPr>
                <w:rFonts w:asciiTheme="minorHAnsi" w:hAnsiTheme="minorHAnsi" w:cstheme="minorHAnsi"/>
                <w:bCs/>
              </w:rPr>
              <w:t>nabíječka 25 W (síťový adaptér) stejného výrobce jako mobilní telefon</w:t>
            </w:r>
          </w:p>
          <w:p w14:paraId="74E2C3B7" w14:textId="599BA277" w:rsidR="00AF28E3" w:rsidRP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46" w:type="pct"/>
            <w:shd w:val="clear" w:color="auto" w:fill="FFFF00"/>
            <w:vAlign w:val="center"/>
          </w:tcPr>
          <w:p w14:paraId="3A7B3BD1" w14:textId="77777777" w:rsidR="00AF28E3" w:rsidRPr="00C84DDD" w:rsidRDefault="00AF28E3" w:rsidP="00AF28E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885" w:type="pct"/>
            <w:shd w:val="clear" w:color="auto" w:fill="FFFF00"/>
            <w:vAlign w:val="center"/>
          </w:tcPr>
          <w:p w14:paraId="24B28FFA" w14:textId="77777777" w:rsidR="00AF28E3" w:rsidRPr="00C84DDD" w:rsidRDefault="00AF28E3" w:rsidP="00AF2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AF28E3" w:rsidRPr="00C84DDD" w14:paraId="533C79B5" w14:textId="77777777" w:rsidTr="00AF28E3">
        <w:tc>
          <w:tcPr>
            <w:tcW w:w="2469" w:type="pct"/>
            <w:vAlign w:val="center"/>
          </w:tcPr>
          <w:p w14:paraId="2DE18C18" w14:textId="77777777" w:rsid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F28E3">
              <w:rPr>
                <w:rFonts w:asciiTheme="minorHAnsi" w:hAnsiTheme="minorHAnsi" w:cstheme="minorHAnsi"/>
                <w:bCs/>
              </w:rPr>
              <w:t>USB-C kabel kompatibilní s dodanou nabíječkou</w:t>
            </w:r>
          </w:p>
          <w:p w14:paraId="2A55F3D3" w14:textId="42B4A325" w:rsidR="00AF28E3" w:rsidRP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46" w:type="pct"/>
            <w:shd w:val="clear" w:color="auto" w:fill="FFFF00"/>
            <w:vAlign w:val="center"/>
          </w:tcPr>
          <w:p w14:paraId="3E779F59" w14:textId="77777777" w:rsidR="00AF28E3" w:rsidRPr="00C84DDD" w:rsidRDefault="00AF28E3" w:rsidP="00AF28E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885" w:type="pct"/>
            <w:shd w:val="clear" w:color="auto" w:fill="FFFF00"/>
            <w:vAlign w:val="center"/>
          </w:tcPr>
          <w:p w14:paraId="0E28EDEE" w14:textId="77777777" w:rsidR="00AF28E3" w:rsidRPr="00C84DDD" w:rsidRDefault="00AF28E3" w:rsidP="00AF2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AF28E3" w:rsidRPr="00C84DDD" w14:paraId="3232220D" w14:textId="77777777" w:rsidTr="001E51A0">
        <w:tc>
          <w:tcPr>
            <w:tcW w:w="2469" w:type="pct"/>
            <w:vAlign w:val="bottom"/>
          </w:tcPr>
          <w:p w14:paraId="50B4A984" w14:textId="77777777" w:rsid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z</w:t>
            </w:r>
            <w:r w:rsidRPr="00AF28E3">
              <w:rPr>
                <w:rFonts w:asciiTheme="minorHAnsi" w:hAnsiTheme="minorHAnsi" w:cstheme="minorHAnsi"/>
                <w:bCs/>
              </w:rPr>
              <w:t>áruka na mobilní telefon min. 24 měsíců</w:t>
            </w:r>
          </w:p>
          <w:p w14:paraId="445E27CB" w14:textId="46184A3A" w:rsidR="00AF28E3" w:rsidRPr="00AF28E3" w:rsidRDefault="00AF28E3" w:rsidP="00AF28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46" w:type="pct"/>
            <w:shd w:val="clear" w:color="auto" w:fill="FFFF00"/>
            <w:vAlign w:val="center"/>
          </w:tcPr>
          <w:p w14:paraId="6B296D23" w14:textId="77777777" w:rsidR="00AF28E3" w:rsidRPr="00C84DDD" w:rsidRDefault="00AF28E3" w:rsidP="00AF28E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885" w:type="pct"/>
            <w:shd w:val="clear" w:color="auto" w:fill="FFFF00"/>
            <w:vAlign w:val="center"/>
          </w:tcPr>
          <w:p w14:paraId="2F4CD91E" w14:textId="77777777" w:rsidR="00AF28E3" w:rsidRPr="00C84DDD" w:rsidRDefault="00AF28E3" w:rsidP="00AF2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</w:tbl>
    <w:p w14:paraId="67806F10" w14:textId="77777777" w:rsidR="00A32A69" w:rsidRDefault="00A32A69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0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p w14:paraId="3C2F72EB" w14:textId="77777777" w:rsidR="00620961" w:rsidRPr="0031002F" w:rsidRDefault="00620961" w:rsidP="00620961">
      <w:pPr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Oblastní nemocnice Náchod a.s. (ONN) je dle Zákona č.181/2014 Sb. o kybernetické bezpečnosti (ZKB) provozovatelem základní služby: Poskytování zdravotních služeb. </w:t>
      </w:r>
    </w:p>
    <w:p w14:paraId="03587645" w14:textId="77777777" w:rsidR="00620961" w:rsidRPr="0031002F" w:rsidRDefault="00620961" w:rsidP="00620961">
      <w:pPr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Dodávaný systém musí splňovat požadavky ZKB a navazujících předpisů, zejména vyhlášky č. 82/2018 Sb. o bezpečnostních opatřeních, kybernetických bezpečnostních incidentech.</w:t>
      </w:r>
      <w:bookmarkEnd w:id="0"/>
    </w:p>
    <w:p w14:paraId="67A7DEB3" w14:textId="77777777" w:rsidR="001013C4" w:rsidRPr="001013C4" w:rsidRDefault="001013C4" w:rsidP="001013C4">
      <w:pPr>
        <w:spacing w:after="0"/>
        <w:jc w:val="both"/>
        <w:rPr>
          <w:rFonts w:asciiTheme="minorHAnsi" w:hAnsiTheme="minorHAnsi" w:cstheme="minorHAnsi"/>
        </w:rPr>
      </w:pP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footerReference w:type="default" r:id="rId11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 w16cid:durableId="300423095">
    <w:abstractNumId w:val="6"/>
  </w:num>
  <w:num w:numId="2" w16cid:durableId="690113299">
    <w:abstractNumId w:val="17"/>
  </w:num>
  <w:num w:numId="3" w16cid:durableId="150098923">
    <w:abstractNumId w:val="12"/>
  </w:num>
  <w:num w:numId="4" w16cid:durableId="411850846">
    <w:abstractNumId w:val="4"/>
  </w:num>
  <w:num w:numId="5" w16cid:durableId="1645433243">
    <w:abstractNumId w:val="15"/>
  </w:num>
  <w:num w:numId="6" w16cid:durableId="26612951">
    <w:abstractNumId w:val="13"/>
  </w:num>
  <w:num w:numId="7" w16cid:durableId="632640338">
    <w:abstractNumId w:val="1"/>
  </w:num>
  <w:num w:numId="8" w16cid:durableId="1013801332">
    <w:abstractNumId w:val="14"/>
  </w:num>
  <w:num w:numId="9" w16cid:durableId="1646202881">
    <w:abstractNumId w:val="7"/>
  </w:num>
  <w:num w:numId="10" w16cid:durableId="1382053333">
    <w:abstractNumId w:val="3"/>
  </w:num>
  <w:num w:numId="11" w16cid:durableId="506090963">
    <w:abstractNumId w:val="11"/>
  </w:num>
  <w:num w:numId="12" w16cid:durableId="1343048414">
    <w:abstractNumId w:val="9"/>
  </w:num>
  <w:num w:numId="13" w16cid:durableId="639765802">
    <w:abstractNumId w:val="2"/>
  </w:num>
  <w:num w:numId="14" w16cid:durableId="1520848931">
    <w:abstractNumId w:val="8"/>
  </w:num>
  <w:num w:numId="15" w16cid:durableId="558250921">
    <w:abstractNumId w:val="16"/>
  </w:num>
  <w:num w:numId="16" w16cid:durableId="642199556">
    <w:abstractNumId w:val="10"/>
  </w:num>
  <w:num w:numId="17" w16cid:durableId="712581165">
    <w:abstractNumId w:val="5"/>
  </w:num>
  <w:num w:numId="18" w16cid:durableId="77767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13C1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2828"/>
    <w:rsid w:val="001013C4"/>
    <w:rsid w:val="00106C76"/>
    <w:rsid w:val="00106E5A"/>
    <w:rsid w:val="00112017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3858"/>
    <w:rsid w:val="00155025"/>
    <w:rsid w:val="00155278"/>
    <w:rsid w:val="00160714"/>
    <w:rsid w:val="0017631F"/>
    <w:rsid w:val="00176579"/>
    <w:rsid w:val="0017665C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54BA"/>
    <w:rsid w:val="00202028"/>
    <w:rsid w:val="00203A74"/>
    <w:rsid w:val="002057B2"/>
    <w:rsid w:val="00205A1D"/>
    <w:rsid w:val="00205E2B"/>
    <w:rsid w:val="00205E49"/>
    <w:rsid w:val="0021122B"/>
    <w:rsid w:val="00216989"/>
    <w:rsid w:val="00217D75"/>
    <w:rsid w:val="002313A8"/>
    <w:rsid w:val="0023439D"/>
    <w:rsid w:val="00234C57"/>
    <w:rsid w:val="002354FD"/>
    <w:rsid w:val="0023662E"/>
    <w:rsid w:val="00240718"/>
    <w:rsid w:val="00241231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A5D62"/>
    <w:rsid w:val="002A645A"/>
    <w:rsid w:val="002B391B"/>
    <w:rsid w:val="002B489C"/>
    <w:rsid w:val="002C17B1"/>
    <w:rsid w:val="002C1CCC"/>
    <w:rsid w:val="002C1D2A"/>
    <w:rsid w:val="002D44E6"/>
    <w:rsid w:val="002D47F5"/>
    <w:rsid w:val="002E334C"/>
    <w:rsid w:val="002E55B0"/>
    <w:rsid w:val="002F04D2"/>
    <w:rsid w:val="002F324D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1438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136B"/>
    <w:rsid w:val="00441A9F"/>
    <w:rsid w:val="00444817"/>
    <w:rsid w:val="00450A52"/>
    <w:rsid w:val="004515DD"/>
    <w:rsid w:val="0045259F"/>
    <w:rsid w:val="004625DB"/>
    <w:rsid w:val="00473B59"/>
    <w:rsid w:val="00474004"/>
    <w:rsid w:val="0048186D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3E0D"/>
    <w:rsid w:val="00560964"/>
    <w:rsid w:val="005609D7"/>
    <w:rsid w:val="00561781"/>
    <w:rsid w:val="005621CF"/>
    <w:rsid w:val="00563544"/>
    <w:rsid w:val="0056449B"/>
    <w:rsid w:val="00566EE5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738F6"/>
    <w:rsid w:val="0077498C"/>
    <w:rsid w:val="00774A7A"/>
    <w:rsid w:val="00775AFD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85A32"/>
    <w:rsid w:val="008866D5"/>
    <w:rsid w:val="00890A34"/>
    <w:rsid w:val="00890C14"/>
    <w:rsid w:val="00891BAA"/>
    <w:rsid w:val="00893763"/>
    <w:rsid w:val="00894B5A"/>
    <w:rsid w:val="00896A71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625F"/>
    <w:rsid w:val="00966F23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CE"/>
    <w:rsid w:val="009A48E1"/>
    <w:rsid w:val="009A6463"/>
    <w:rsid w:val="009A7B83"/>
    <w:rsid w:val="009B2FD8"/>
    <w:rsid w:val="009B51AA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6354"/>
    <w:rsid w:val="00AA7B22"/>
    <w:rsid w:val="00AA7DF5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8E3"/>
    <w:rsid w:val="00AF2A46"/>
    <w:rsid w:val="00AF3CEC"/>
    <w:rsid w:val="00AF3E9F"/>
    <w:rsid w:val="00AF474A"/>
    <w:rsid w:val="00B03BC0"/>
    <w:rsid w:val="00B20A2C"/>
    <w:rsid w:val="00B21795"/>
    <w:rsid w:val="00B21DD2"/>
    <w:rsid w:val="00B246CF"/>
    <w:rsid w:val="00B25C6F"/>
    <w:rsid w:val="00B27CAD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7416"/>
    <w:rsid w:val="00BE1F33"/>
    <w:rsid w:val="00BE3C21"/>
    <w:rsid w:val="00BF0511"/>
    <w:rsid w:val="00BF3C97"/>
    <w:rsid w:val="00BF7E8B"/>
    <w:rsid w:val="00C05697"/>
    <w:rsid w:val="00C0617D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6D35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E6D"/>
    <w:rsid w:val="00CE3EEE"/>
    <w:rsid w:val="00CE56C3"/>
    <w:rsid w:val="00CE6435"/>
    <w:rsid w:val="00CE66EA"/>
    <w:rsid w:val="00CE7C35"/>
    <w:rsid w:val="00CE7DF9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771C"/>
    <w:rsid w:val="00D21817"/>
    <w:rsid w:val="00D23359"/>
    <w:rsid w:val="00D23B90"/>
    <w:rsid w:val="00D26784"/>
    <w:rsid w:val="00D31391"/>
    <w:rsid w:val="00D3503F"/>
    <w:rsid w:val="00D4076C"/>
    <w:rsid w:val="00D51383"/>
    <w:rsid w:val="00D55D83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500F"/>
    <w:rsid w:val="00DD5244"/>
    <w:rsid w:val="00DD6303"/>
    <w:rsid w:val="00DE2DDE"/>
    <w:rsid w:val="00DE4562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F71FBB-B20D-4F52-8546-D59DC3937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454A0C-5ABE-46BB-A1E3-E6A63E1A35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Bc. Michaela Kapustová</cp:lastModifiedBy>
  <cp:revision>2</cp:revision>
  <cp:lastPrinted>2022-11-21T09:15:00Z</cp:lastPrinted>
  <dcterms:created xsi:type="dcterms:W3CDTF">2025-09-16T08:24:00Z</dcterms:created>
  <dcterms:modified xsi:type="dcterms:W3CDTF">2025-09-16T08:24:00Z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