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79533C88" w:rsidR="00C5658A" w:rsidRPr="00855D55" w:rsidRDefault="00CB2AE4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7672D5">
              <w:rPr>
                <w:rFonts w:ascii="Arial" w:hAnsi="Arial" w:cs="Arial"/>
                <w:b/>
                <w:sz w:val="24"/>
                <w:szCs w:val="24"/>
              </w:rPr>
              <w:t>Strojové vybavení část IV. - průjezdná geometrie s kontrolou pneumatik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724C2"/>
    <w:rsid w:val="00081846"/>
    <w:rsid w:val="000915CC"/>
    <w:rsid w:val="000A4DF6"/>
    <w:rsid w:val="000C451E"/>
    <w:rsid w:val="001062D3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373C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D1E8A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53D"/>
    <w:rsid w:val="00AF4BFB"/>
    <w:rsid w:val="00AF616A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96DC7"/>
    <w:rsid w:val="00CB2AE4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61</cp:revision>
  <dcterms:created xsi:type="dcterms:W3CDTF">2020-03-04T08:00:00Z</dcterms:created>
  <dcterms:modified xsi:type="dcterms:W3CDTF">2025-07-18T13:24:00Z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