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3A838D86"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4E399820"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 xml:space="preserve">Purkyňova 446, 547 </w:t>
      </w:r>
      <w:proofErr w:type="gramStart"/>
      <w:r>
        <w:rPr>
          <w:rFonts w:ascii="Times New Roman" w:hAnsi="Times New Roman"/>
          <w:sz w:val="16"/>
          <w:szCs w:val="16"/>
        </w:rPr>
        <w:t>01  Náchod</w:t>
      </w:r>
      <w:proofErr w:type="gramEnd"/>
    </w:p>
    <w:p w14:paraId="23E5E5C7" w14:textId="2439337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proofErr w:type="gramStart"/>
      <w:r>
        <w:rPr>
          <w:rFonts w:ascii="Times New Roman" w:hAnsi="Times New Roman"/>
          <w:sz w:val="16"/>
          <w:szCs w:val="16"/>
        </w:rPr>
        <w:t>26000202,  DIČ</w:t>
      </w:r>
      <w:proofErr w:type="gramEnd"/>
      <w:r>
        <w:rPr>
          <w:rFonts w:ascii="Times New Roman" w:hAnsi="Times New Roman"/>
          <w:sz w:val="16"/>
          <w:szCs w:val="16"/>
        </w:rPr>
        <w:t>: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1EB00FCC"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053156">
        <w:t>servisní</w:t>
      </w:r>
      <w:r>
        <w:t xml:space="preserve"> smlouvu (dále jen „smlouva“).</w:t>
      </w:r>
    </w:p>
    <w:p w14:paraId="175077AB" w14:textId="77777777" w:rsidR="00DC4D97" w:rsidRDefault="00DC0EFE" w:rsidP="0093154B">
      <w:pPr>
        <w:pStyle w:val="Nadpis1"/>
      </w:pPr>
      <w:r>
        <w:t>Účel smlouvy</w:t>
      </w:r>
    </w:p>
    <w:p w14:paraId="050BA561" w14:textId="635AD44F" w:rsidR="00DC4D97" w:rsidRPr="00616D63" w:rsidRDefault="00DC0EFE" w:rsidP="00051264">
      <w:pPr>
        <w:pStyle w:val="Zkladntext"/>
        <w:numPr>
          <w:ilvl w:val="0"/>
          <w:numId w:val="4"/>
        </w:numPr>
        <w:rPr>
          <w:b/>
          <w:i/>
        </w:rPr>
      </w:pPr>
      <w:r w:rsidRPr="00374D69">
        <w:t>Účelem této smlouvy je upravit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r w:rsidR="004A303C">
        <w:t xml:space="preserve"> Tato smlouva je uzavřena na základě výsledku veřejné zakázky </w:t>
      </w:r>
      <w:r w:rsidR="006C21CC" w:rsidRPr="006C21CC">
        <w:rPr>
          <w:b/>
          <w:bCs/>
        </w:rPr>
        <w:t>„Zajištění servisní činností sterilizátorů“</w:t>
      </w:r>
      <w:r w:rsidR="006C21CC">
        <w:rPr>
          <w:b/>
          <w:bCs/>
        </w:rPr>
        <w:t xml:space="preserve">. </w:t>
      </w:r>
    </w:p>
    <w:p w14:paraId="5AB08A55" w14:textId="77777777" w:rsidR="00616D63" w:rsidRPr="00374D69" w:rsidRDefault="00616D63" w:rsidP="00616D63">
      <w:pPr>
        <w:pStyle w:val="Zkladntext"/>
        <w:numPr>
          <w:ilvl w:val="0"/>
          <w:numId w:val="0"/>
        </w:numPr>
        <w:ind w:left="390"/>
        <w:rPr>
          <w:b/>
          <w:i/>
        </w:rPr>
      </w:pPr>
    </w:p>
    <w:p w14:paraId="2AD42DF1" w14:textId="77777777" w:rsidR="00DC4D97" w:rsidRPr="00616D63" w:rsidRDefault="00DC0EFE" w:rsidP="00051264">
      <w:pPr>
        <w:pStyle w:val="Zkladntext"/>
        <w:numPr>
          <w:ilvl w:val="0"/>
          <w:numId w:val="4"/>
        </w:numPr>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7AE17A77" w14:textId="77777777" w:rsidR="004A303C" w:rsidRPr="009F3EC1" w:rsidRDefault="004A303C" w:rsidP="004A303C">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 xml:space="preserve">Na základě této smlouvy a za podmínek v ní uvedených se zhotovitel zavazuje provádět pro objednatele servis, </w:t>
      </w:r>
      <w:r w:rsidRPr="009F3EC1">
        <w:rPr>
          <w:rFonts w:ascii="Times New Roman" w:hAnsi="Times New Roman"/>
          <w:noProof/>
          <w:sz w:val="18"/>
          <w:szCs w:val="18"/>
        </w:rPr>
        <w:t>validace a kontroly, které jsou předepsány výrobcem, zákonem č. 375/2022 Sb., o zdravotnických prostředcích a diagnostických zdravotnických prostředcích in vitro, ve znění pozdějších předpisů (dále jen „zákon o zdravotnických prostředcích“), nařízení Evropského parlamentu a Rady (EU) 2017/745</w:t>
      </w:r>
      <w:r w:rsidRPr="009F3EC1">
        <w:t xml:space="preserve"> </w:t>
      </w:r>
      <w:r w:rsidRPr="009F3EC1">
        <w:rPr>
          <w:rFonts w:ascii="Times New Roman" w:hAnsi="Times New Roman"/>
          <w:noProof/>
          <w:sz w:val="18"/>
          <w:szCs w:val="18"/>
        </w:rPr>
        <w:t>a  příslušnými technickými normami a další servisní činnosti (vše dále také jen jako „servis“) u zdravotnických prostředků, které jsou dále specifikovány v této smlouvě (dále jen jako „zdravotnický prostředek“ nebo také „zdravotnické prostředky“).</w:t>
      </w:r>
    </w:p>
    <w:p w14:paraId="2E93CC7E" w14:textId="77777777" w:rsidR="00050DF0" w:rsidRPr="00050DF0" w:rsidRDefault="00050DF0" w:rsidP="00050DF0">
      <w:pPr>
        <w:suppressAutoHyphens w:val="0"/>
        <w:ind w:left="426"/>
        <w:jc w:val="both"/>
        <w:rPr>
          <w:rFonts w:ascii="Times New Roman" w:hAnsi="Times New Roman"/>
          <w:noProof/>
          <w:sz w:val="18"/>
          <w:szCs w:val="18"/>
        </w:rPr>
      </w:pPr>
    </w:p>
    <w:p w14:paraId="14F5A7D9" w14:textId="71A5840A" w:rsidR="00050DF0" w:rsidRPr="008D728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8D7281">
        <w:rPr>
          <w:rFonts w:ascii="Times New Roman" w:hAnsi="Times New Roman"/>
          <w:noProof/>
          <w:sz w:val="18"/>
          <w:szCs w:val="18"/>
        </w:rPr>
        <w:t xml:space="preserve">Specifikaci předmětu plnění včetně přesné identifikace ZP (zdravotnického prostředku) a ceny plnění je vymezen v Přílouze č. </w:t>
      </w:r>
      <w:r w:rsidR="008D7281" w:rsidRPr="008D7281">
        <w:rPr>
          <w:rFonts w:ascii="Times New Roman" w:hAnsi="Times New Roman"/>
          <w:noProof/>
          <w:sz w:val="18"/>
          <w:szCs w:val="18"/>
        </w:rPr>
        <w:t>1</w:t>
      </w:r>
      <w:r w:rsidRPr="008D7281">
        <w:rPr>
          <w:rFonts w:ascii="Times New Roman" w:hAnsi="Times New Roman"/>
          <w:noProof/>
          <w:sz w:val="18"/>
          <w:szCs w:val="18"/>
        </w:rPr>
        <w:t xml:space="preserve"> této smlouvy.  </w:t>
      </w:r>
    </w:p>
    <w:p w14:paraId="2F34FC43" w14:textId="77777777" w:rsidR="00050DF0" w:rsidRDefault="00050DF0" w:rsidP="00050DF0">
      <w:pPr>
        <w:pStyle w:val="Odstavecseseznamem"/>
        <w:rPr>
          <w:rFonts w:ascii="Times New Roman" w:hAnsi="Times New Roman"/>
          <w:noProof/>
          <w:sz w:val="18"/>
          <w:szCs w:val="18"/>
        </w:rPr>
      </w:pPr>
    </w:p>
    <w:p w14:paraId="6C576E53" w14:textId="3DEF0092" w:rsidR="006C3C13" w:rsidRPr="00050DF0" w:rsidRDefault="006C3C13"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Předmětem smlouvy po dobu její platnosti je dále:</w:t>
      </w:r>
    </w:p>
    <w:p w14:paraId="7E0439A8" w14:textId="35CB77C4" w:rsidR="00757FF9" w:rsidRPr="008D7281" w:rsidRDefault="00757FF9" w:rsidP="008D7281">
      <w:pPr>
        <w:pStyle w:val="Wtext"/>
        <w:numPr>
          <w:ilvl w:val="1"/>
          <w:numId w:val="16"/>
        </w:numPr>
        <w:ind w:left="993" w:hanging="306"/>
        <w:rPr>
          <w:rFonts w:ascii="Times New Roman" w:hAnsi="Times New Roman" w:cs="Times New Roman"/>
          <w:sz w:val="18"/>
          <w:szCs w:val="18"/>
        </w:rPr>
      </w:pPr>
      <w:r w:rsidRPr="00757FF9">
        <w:rPr>
          <w:rFonts w:ascii="Times New Roman" w:hAnsi="Times New Roman" w:cs="Times New Roman"/>
          <w:sz w:val="18"/>
          <w:szCs w:val="18"/>
        </w:rPr>
        <w:t xml:space="preserve">Provádění bezpečnostně technických kontrol, kontrol elektrického zařízení a kontrol předepsaných výrobcem dle zákona o zdravotnických </w:t>
      </w:r>
      <w:r w:rsidR="004A303C" w:rsidRPr="009F3EC1">
        <w:rPr>
          <w:rFonts w:ascii="Times New Roman" w:hAnsi="Times New Roman" w:cs="Times New Roman"/>
          <w:sz w:val="18"/>
          <w:szCs w:val="18"/>
        </w:rPr>
        <w:t>nařízení Evropského parlamentu a Rady (EU) a validací vč. vystavení protokolu dle doporučení výrobce (dále jen jako „BTK“)</w:t>
      </w:r>
      <w:r w:rsidR="008D7281">
        <w:rPr>
          <w:rFonts w:ascii="Times New Roman" w:hAnsi="Times New Roman" w:cs="Times New Roman"/>
          <w:sz w:val="18"/>
          <w:szCs w:val="18"/>
        </w:rPr>
        <w:t xml:space="preserve">, </w:t>
      </w:r>
      <w:r w:rsidR="008D7281" w:rsidRPr="006C3C13">
        <w:rPr>
          <w:rFonts w:ascii="Times New Roman" w:hAnsi="Times New Roman" w:cs="Times New Roman"/>
          <w:sz w:val="18"/>
          <w:szCs w:val="18"/>
        </w:rPr>
        <w:t xml:space="preserve">tj. minimálně 1x za </w:t>
      </w:r>
      <w:r w:rsidR="008D7281">
        <w:rPr>
          <w:rFonts w:ascii="Times New Roman" w:hAnsi="Times New Roman" w:cs="Times New Roman"/>
          <w:sz w:val="18"/>
          <w:szCs w:val="18"/>
        </w:rPr>
        <w:t>12</w:t>
      </w:r>
      <w:r w:rsidR="008D7281" w:rsidRPr="000C7430">
        <w:rPr>
          <w:rFonts w:ascii="Times New Roman" w:hAnsi="Times New Roman" w:cs="Times New Roman"/>
          <w:sz w:val="18"/>
          <w:szCs w:val="18"/>
        </w:rPr>
        <w:t xml:space="preserve"> měsíců, pokud není výrobcem stanoven jiný interval, včetně vystavení protokolů a zaslání kopií bez prodlení na </w:t>
      </w:r>
      <w:r w:rsidR="008D7281" w:rsidRPr="006C3C13">
        <w:rPr>
          <w:rFonts w:ascii="Times New Roman" w:hAnsi="Times New Roman" w:cs="Times New Roman"/>
          <w:sz w:val="18"/>
          <w:szCs w:val="18"/>
        </w:rPr>
        <w:t xml:space="preserve">email: </w:t>
      </w:r>
      <w:hyperlink r:id="rId8">
        <w:r w:rsidR="008D7281" w:rsidRPr="006C3C13">
          <w:rPr>
            <w:rFonts w:ascii="Times New Roman" w:hAnsi="Times New Roman"/>
            <w:color w:val="2F5496" w:themeColor="accent1" w:themeShade="BF"/>
            <w:sz w:val="18"/>
            <w:szCs w:val="18"/>
            <w:u w:val="single"/>
          </w:rPr>
          <w:t>rihova.lucie@nemocnicenachod.cz</w:t>
        </w:r>
      </w:hyperlink>
      <w:r w:rsidR="008D7281">
        <w:rPr>
          <w:rFonts w:ascii="Times New Roman" w:hAnsi="Times New Roman" w:cs="Times New Roman"/>
          <w:sz w:val="18"/>
          <w:szCs w:val="18"/>
        </w:rPr>
        <w:t xml:space="preserve"> </w:t>
      </w:r>
      <w:r w:rsidR="008D7281" w:rsidRPr="006C3C13">
        <w:rPr>
          <w:rFonts w:ascii="Times New Roman" w:hAnsi="Times New Roman" w:cs="Times New Roman"/>
          <w:sz w:val="18"/>
          <w:szCs w:val="18"/>
        </w:rPr>
        <w:t>;</w:t>
      </w:r>
    </w:p>
    <w:p w14:paraId="0324D4FA" w14:textId="08F3AFCF" w:rsidR="00757FF9" w:rsidRPr="00757FF9" w:rsidRDefault="00757FF9" w:rsidP="00757FF9">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lastRenderedPageBreak/>
        <w:t xml:space="preserve">Opravy zdravotnických prostředků včetně jejich příslušenství (dále jen „opravy“), které se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zavazuje provádět na základě přijetí požadavku objednatele učiněného elektronickou poštou nebo telefonicky.</w:t>
      </w:r>
    </w:p>
    <w:p w14:paraId="370B2083" w14:textId="77777777" w:rsidR="00757FF9" w:rsidRPr="00757FF9" w:rsidRDefault="00757FF9" w:rsidP="00757FF9">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provádění bezúplatných instruktáží obsluhy zdravotnických prostředků dle požadavků objednatele, a to maximálně 2x ročně.</w:t>
      </w:r>
    </w:p>
    <w:p w14:paraId="6E2179FF" w14:textId="5C70C8D6" w:rsidR="006C3C13" w:rsidRPr="008D7281" w:rsidRDefault="00757FF9" w:rsidP="008D7281">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doprava a výměna náhradních dílů a materiálu, které budou při provádění servisu použity. Cena náhradních dílů a materiálu</w:t>
      </w:r>
      <w:r w:rsidR="008D7281">
        <w:rPr>
          <w:rFonts w:ascii="Times New Roman" w:hAnsi="Times New Roman" w:cs="Times New Roman"/>
          <w:sz w:val="18"/>
          <w:szCs w:val="18"/>
        </w:rPr>
        <w:t xml:space="preserve"> </w:t>
      </w:r>
      <w:r w:rsidRPr="008D7281">
        <w:rPr>
          <w:rFonts w:ascii="Times New Roman" w:hAnsi="Times New Roman" w:cs="Times New Roman"/>
          <w:sz w:val="18"/>
          <w:szCs w:val="18"/>
        </w:rPr>
        <w:t>bud</w:t>
      </w:r>
      <w:r w:rsidR="008D7281">
        <w:rPr>
          <w:rFonts w:ascii="Times New Roman" w:hAnsi="Times New Roman" w:cs="Times New Roman"/>
          <w:sz w:val="18"/>
          <w:szCs w:val="18"/>
        </w:rPr>
        <w:t xml:space="preserve">e </w:t>
      </w:r>
      <w:r w:rsidRPr="008D7281">
        <w:rPr>
          <w:rFonts w:ascii="Times New Roman" w:hAnsi="Times New Roman" w:cs="Times New Roman"/>
          <w:sz w:val="18"/>
          <w:szCs w:val="18"/>
        </w:rPr>
        <w:t>fakturován</w:t>
      </w:r>
      <w:r w:rsidR="008D7281">
        <w:rPr>
          <w:rFonts w:ascii="Times New Roman" w:hAnsi="Times New Roman" w:cs="Times New Roman"/>
          <w:sz w:val="18"/>
          <w:szCs w:val="18"/>
        </w:rPr>
        <w:t>a</w:t>
      </w:r>
      <w:r w:rsidRPr="008D7281">
        <w:rPr>
          <w:rFonts w:ascii="Times New Roman" w:hAnsi="Times New Roman" w:cs="Times New Roman"/>
          <w:sz w:val="18"/>
          <w:szCs w:val="18"/>
        </w:rPr>
        <w:t xml:space="preserve"> samostatně</w:t>
      </w:r>
      <w:r w:rsidR="008D7281">
        <w:rPr>
          <w:rFonts w:ascii="Times New Roman" w:hAnsi="Times New Roman" w:cs="Times New Roman"/>
          <w:sz w:val="18"/>
          <w:szCs w:val="18"/>
        </w:rPr>
        <w:t xml:space="preserve"> a bude postupováno v souladu s </w:t>
      </w:r>
      <w:proofErr w:type="spellStart"/>
      <w:r w:rsidR="008D7281">
        <w:rPr>
          <w:rFonts w:ascii="Times New Roman" w:hAnsi="Times New Roman" w:cs="Times New Roman"/>
          <w:sz w:val="18"/>
          <w:szCs w:val="18"/>
        </w:rPr>
        <w:t>ust</w:t>
      </w:r>
      <w:proofErr w:type="spellEnd"/>
      <w:r w:rsidR="008D7281">
        <w:rPr>
          <w:rFonts w:ascii="Times New Roman" w:hAnsi="Times New Roman" w:cs="Times New Roman"/>
          <w:sz w:val="18"/>
          <w:szCs w:val="18"/>
        </w:rPr>
        <w:t>. čl. 4 odst. 2 této smlouvy</w:t>
      </w:r>
      <w:r w:rsidRPr="00757FF9">
        <w:rPr>
          <w:rFonts w:ascii="Times New Roman" w:hAnsi="Times New Roman" w:cs="Times New Roman"/>
          <w:sz w:val="18"/>
          <w:szCs w:val="18"/>
        </w:rPr>
        <w:t xml:space="preserv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být připraven pro tyto účely zajišťovat dodávky náhradních dílů a potřebného materiálu pro provedení servisu za obvyklé ceny, resp. dle cen stanovených v katalogu výrobce (existuje-li).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pro účely provádění servisu dodávat výlučně nové originální náhradní díly. Za nový náhradní díl se nepovažuje repasovaný či jinak dodatečně opravený náhradní díl.</w:t>
      </w:r>
    </w:p>
    <w:p w14:paraId="73979F47" w14:textId="323928AF"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sz w:val="18"/>
          <w:szCs w:val="18"/>
        </w:rPr>
        <w:t xml:space="preserve">Doplnění nebo vyjmutí položek ze seznamu této smlouvy uvedených </w:t>
      </w:r>
      <w:r w:rsidRPr="008D7281">
        <w:rPr>
          <w:rFonts w:ascii="Times New Roman" w:hAnsi="Times New Roman"/>
          <w:sz w:val="18"/>
          <w:szCs w:val="18"/>
        </w:rPr>
        <w:t xml:space="preserve">v Příloze č. </w:t>
      </w:r>
      <w:r w:rsidR="008D7281" w:rsidRPr="008D7281">
        <w:rPr>
          <w:rFonts w:ascii="Times New Roman" w:hAnsi="Times New Roman"/>
          <w:sz w:val="18"/>
          <w:szCs w:val="18"/>
        </w:rPr>
        <w:t>1</w:t>
      </w:r>
      <w:r w:rsidRPr="008D7281">
        <w:rPr>
          <w:rFonts w:ascii="Times New Roman" w:hAnsi="Times New Roman"/>
          <w:sz w:val="18"/>
          <w:szCs w:val="18"/>
        </w:rPr>
        <w:t xml:space="preserve"> –</w:t>
      </w:r>
      <w:r w:rsidRPr="006C3C13">
        <w:rPr>
          <w:rFonts w:ascii="Times New Roman" w:hAnsi="Times New Roman"/>
          <w:sz w:val="18"/>
          <w:szCs w:val="18"/>
        </w:rPr>
        <w:t xml:space="preserve"> </w:t>
      </w:r>
      <w:r>
        <w:rPr>
          <w:rFonts w:ascii="Times New Roman" w:hAnsi="Times New Roman"/>
          <w:sz w:val="18"/>
          <w:szCs w:val="18"/>
        </w:rPr>
        <w:t>Sez</w:t>
      </w:r>
      <w:r w:rsidR="004A303C">
        <w:rPr>
          <w:rFonts w:ascii="Times New Roman" w:hAnsi="Times New Roman"/>
          <w:sz w:val="18"/>
          <w:szCs w:val="18"/>
        </w:rPr>
        <w:t>nam</w:t>
      </w:r>
      <w:r w:rsidRPr="006C3C13">
        <w:rPr>
          <w:rFonts w:ascii="Times New Roman" w:hAnsi="Times New Roman"/>
          <w:sz w:val="18"/>
          <w:szCs w:val="18"/>
        </w:rPr>
        <w:t xml:space="preserve"> ZP a zařízení je možné pouze na základě písemného dodatku uzavřeného oběma smluvními stranami</w:t>
      </w:r>
      <w:r w:rsidR="008D7281">
        <w:rPr>
          <w:rFonts w:ascii="Times New Roman" w:hAnsi="Times New Roman"/>
          <w:sz w:val="18"/>
          <w:szCs w:val="18"/>
        </w:rPr>
        <w:t xml:space="preserve">. </w:t>
      </w:r>
      <w:r w:rsidR="008D7281" w:rsidRPr="008D7281">
        <w:rPr>
          <w:rFonts w:ascii="Times New Roman" w:hAnsi="Times New Roman"/>
          <w:sz w:val="18"/>
          <w:szCs w:val="18"/>
        </w:rPr>
        <w:t xml:space="preserve">Počet servisovaných přístrojů se může v průběhu trvání této smlouvy za podmínek dále v ní uvedených měnit v závislosti na vyřazování starých nebo pořizování nových zdravotnických prostředků stejného typu. Objednatel si vyhrazuje právo v průběhu trvání smluvního vztahu rozšířit nebo snížit rozsah zdravotnických prostředků dle své provozní potřeby (zejména z důvodu vyřazení konkrétního zdravotnického prostředku z provozu). V případě vyřazení nebo zařazení zdravotnického prostředku z provozu objednatel zašle </w:t>
      </w:r>
      <w:r w:rsidR="008D7281">
        <w:rPr>
          <w:rFonts w:ascii="Times New Roman" w:hAnsi="Times New Roman"/>
          <w:sz w:val="18"/>
          <w:szCs w:val="18"/>
        </w:rPr>
        <w:t>poskytovateli</w:t>
      </w:r>
      <w:r w:rsidR="008D7281" w:rsidRPr="008D7281">
        <w:rPr>
          <w:rFonts w:ascii="Times New Roman" w:hAnsi="Times New Roman"/>
          <w:sz w:val="18"/>
          <w:szCs w:val="18"/>
        </w:rPr>
        <w:t xml:space="preserve"> bez zbytečného odkladu nový aktuální seznam zdravotnických prostředků. </w:t>
      </w:r>
      <w:r w:rsidR="008D7281">
        <w:rPr>
          <w:rFonts w:ascii="Times New Roman" w:hAnsi="Times New Roman"/>
          <w:sz w:val="18"/>
          <w:szCs w:val="18"/>
        </w:rPr>
        <w:t>Poskytovatel</w:t>
      </w:r>
      <w:r w:rsidR="008D7281" w:rsidRPr="008D7281">
        <w:rPr>
          <w:rFonts w:ascii="Times New Roman" w:hAnsi="Times New Roman"/>
          <w:sz w:val="18"/>
          <w:szCs w:val="18"/>
        </w:rPr>
        <w:t xml:space="preserve"> zavazuje za tímto účelem uzavřít s objednatelem bez zbytečného odkladu dodatek k této smlouvě, kterým se mění příloha č. 1. V návaznosti na snížení počtu zdravotnických prostředků uvedených v aktualizovaném seznamu bude adekvátně snížena měsíční cena předmětu smlouvy</w:t>
      </w:r>
      <w:r w:rsidR="008D7281" w:rsidRPr="008D7281">
        <w:rPr>
          <w:rFonts w:ascii="Times New Roman" w:hAnsi="Times New Roman"/>
          <w:noProof/>
          <w:sz w:val="18"/>
          <w:szCs w:val="18"/>
        </w:rPr>
        <w:t>.</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5CF90CDB"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w:t>
      </w:r>
      <w:r w:rsidR="004A303C" w:rsidRPr="00096D3A">
        <w:rPr>
          <w:rStyle w:val="Znakapoznpodarou"/>
          <w:rFonts w:ascii="Times New Roman" w:hAnsi="Times New Roman"/>
          <w:b/>
          <w:bCs/>
          <w:noProof/>
          <w:color w:val="FF0000"/>
          <w:sz w:val="18"/>
          <w:szCs w:val="18"/>
        </w:rPr>
        <w:footnoteReference w:id="1"/>
      </w:r>
      <w:r w:rsidRPr="006C3C13">
        <w:rPr>
          <w:rFonts w:ascii="Times New Roman" w:hAnsi="Times New Roman"/>
          <w:noProof/>
          <w:sz w:val="18"/>
          <w:szCs w:val="18"/>
        </w:rPr>
        <w:t>, že dle platné legislativy splňuje kvalifikační požadavky stanovené § 64 a § 65 ZoZP mimo jiné, že:</w:t>
      </w:r>
    </w:p>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4A706A41" w14:textId="2D88CDFD" w:rsidR="006C3C13" w:rsidRDefault="006C3C13" w:rsidP="00035AA8">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2CDE5DA4" w14:textId="77777777" w:rsidR="008D7281" w:rsidRPr="00035AA8" w:rsidRDefault="008D7281" w:rsidP="008D7281">
      <w:pPr>
        <w:suppressAutoHyphens w:val="0"/>
        <w:spacing w:before="60"/>
        <w:ind w:left="1146"/>
        <w:jc w:val="both"/>
        <w:rPr>
          <w:rFonts w:ascii="Times New Roman" w:hAnsi="Times New Roman"/>
          <w:noProof/>
          <w:sz w:val="18"/>
          <w:szCs w:val="18"/>
        </w:rPr>
      </w:pP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7961A0DB"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w:t>
      </w:r>
      <w:r w:rsidR="00757FF9">
        <w:rPr>
          <w:rFonts w:ascii="Times New Roman" w:hAnsi="Times New Roman"/>
          <w:noProof/>
          <w:sz w:val="18"/>
          <w:szCs w:val="18"/>
        </w:rPr>
        <w:t>2</w:t>
      </w:r>
      <w:r w:rsidRPr="006C3C13">
        <w:rPr>
          <w:rFonts w:ascii="Times New Roman" w:hAnsi="Times New Roman"/>
          <w:noProof/>
          <w:sz w:val="18"/>
          <w:szCs w:val="18"/>
        </w:rPr>
        <w:t xml:space="preserve">. odst. </w:t>
      </w:r>
      <w:r w:rsidR="00757FF9">
        <w:rPr>
          <w:rFonts w:ascii="Times New Roman" w:hAnsi="Times New Roman"/>
          <w:noProof/>
          <w:sz w:val="18"/>
          <w:szCs w:val="18"/>
        </w:rPr>
        <w:t>5</w:t>
      </w:r>
      <w:r w:rsidRPr="006C3C13">
        <w:rPr>
          <w:rFonts w:ascii="Times New Roman" w:hAnsi="Times New Roman"/>
          <w:noProof/>
          <w:sz w:val="18"/>
          <w:szCs w:val="18"/>
        </w:rPr>
        <w:t xml:space="preserve">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w:t>
      </w:r>
      <w:r w:rsidRPr="008D7281">
        <w:rPr>
          <w:rFonts w:ascii="Times New Roman" w:hAnsi="Times New Roman"/>
          <w:noProof/>
          <w:sz w:val="18"/>
          <w:szCs w:val="18"/>
        </w:rPr>
        <w:t>stanovenou v Příloze č. 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7C1C001A" w14:textId="50B300EF" w:rsidR="00A020D9" w:rsidRPr="004A303C" w:rsidRDefault="006C3C13" w:rsidP="004A303C">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602F5DDC" w14:textId="0A45F906" w:rsidR="00E16D80" w:rsidRDefault="00E16D80" w:rsidP="00051264">
      <w:pPr>
        <w:pStyle w:val="Zkladntext"/>
        <w:numPr>
          <w:ilvl w:val="0"/>
          <w:numId w:val="6"/>
        </w:numPr>
      </w:pPr>
      <w:r>
        <w:t>Poskytovatel bude provádět kontroly (PBTK</w:t>
      </w:r>
      <w:r w:rsidR="004A303C">
        <w:t xml:space="preserve"> a validace</w:t>
      </w:r>
      <w:r>
        <w:t>) u ZP a zařízení v periodách určených výrobcem nebo v periodách stanovených oprávněnou osobou Objednatele například na základě zvýšených provozních hodin dotčeného přístroje, pokud se tyto termíny kontrol liší od doporučení výrobcem. Kontroly (PBTK</w:t>
      </w:r>
      <w:r w:rsidR="004A303C">
        <w:t xml:space="preserve"> a validace</w:t>
      </w:r>
      <w:r>
        <w:t>) je možné provádět i v mírném časovém předstihu.</w:t>
      </w:r>
    </w:p>
    <w:p w14:paraId="4C00818D" w14:textId="77777777" w:rsidR="00035AA8" w:rsidRDefault="00035AA8" w:rsidP="00035AA8">
      <w:pPr>
        <w:pStyle w:val="Zkladntext"/>
        <w:numPr>
          <w:ilvl w:val="0"/>
          <w:numId w:val="0"/>
        </w:numPr>
      </w:pPr>
    </w:p>
    <w:p w14:paraId="3C45E431" w14:textId="60D2CFD9" w:rsidR="00E16D80" w:rsidRDefault="00E16D80" w:rsidP="00051264">
      <w:pPr>
        <w:pStyle w:val="Zkladntext"/>
        <w:numPr>
          <w:ilvl w:val="0"/>
          <w:numId w:val="6"/>
        </w:numPr>
      </w:pPr>
      <w:r>
        <w:t xml:space="preserve">Nestanoví-li výrobce u ZP nebo ZP in vitro termíny kontrol, řídí se maximální perioda kontrol </w:t>
      </w:r>
      <w:proofErr w:type="spellStart"/>
      <w:r>
        <w:t>ZoZP</w:t>
      </w:r>
      <w:proofErr w:type="spellEnd"/>
      <w:r>
        <w:t xml:space="preserve"> případně dalšími dokumenty (např. vyhlášky, normy, elektro revize atp.)</w:t>
      </w:r>
    </w:p>
    <w:p w14:paraId="322A4AC3" w14:textId="77777777" w:rsidR="00035AA8" w:rsidRDefault="00035AA8" w:rsidP="00035AA8">
      <w:pPr>
        <w:pStyle w:val="Zkladntext"/>
        <w:numPr>
          <w:ilvl w:val="0"/>
          <w:numId w:val="0"/>
        </w:numPr>
        <w:ind w:left="390"/>
      </w:pPr>
    </w:p>
    <w:p w14:paraId="1D4F294A" w14:textId="53B53976" w:rsidR="00E16D80" w:rsidRDefault="00E16D80" w:rsidP="00051264">
      <w:pPr>
        <w:pStyle w:val="Zkladntext"/>
        <w:numPr>
          <w:ilvl w:val="0"/>
          <w:numId w:val="6"/>
        </w:numPr>
      </w:pPr>
      <w:r>
        <w:lastRenderedPageBreak/>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051264">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320CE1E4" w14:textId="0B28BA97" w:rsidR="00DA6980" w:rsidRPr="008F3754" w:rsidRDefault="00E16D80" w:rsidP="00DA6980">
      <w:pPr>
        <w:pStyle w:val="Zkladntext"/>
        <w:numPr>
          <w:ilvl w:val="0"/>
          <w:numId w:val="0"/>
        </w:numPr>
        <w:ind w:left="390" w:hanging="390"/>
      </w:pPr>
      <w:r w:rsidRPr="004F2F51">
        <w:rPr>
          <w:sz w:val="16"/>
          <w:szCs w:val="16"/>
        </w:rPr>
        <w:t>1</w:t>
      </w:r>
      <w:r w:rsidRPr="00E16D80">
        <w:t>.</w:t>
      </w:r>
      <w:r w:rsidRPr="00E16D80">
        <w:tab/>
      </w:r>
      <w:r w:rsidR="00DA6980" w:rsidRPr="008F3754">
        <w:t>Cena za Servisní činnost vychází z předpokládaného rozsahu prací a je stanoven</w:t>
      </w:r>
      <w:r w:rsidR="00DA6980">
        <w:t>a jako</w:t>
      </w:r>
      <w:r w:rsidR="00DA6980" w:rsidRPr="008F3754">
        <w:t xml:space="preserve"> zúčtovatelný</w:t>
      </w:r>
      <w:r w:rsidR="00DA6980">
        <w:t xml:space="preserve"> </w:t>
      </w:r>
      <w:r w:rsidR="00DA6980" w:rsidRPr="008F3754">
        <w:t xml:space="preserve">paušál ve výši </w:t>
      </w:r>
      <w:r w:rsidR="00DA6980" w:rsidRPr="00DA6980">
        <w:rPr>
          <w:i/>
          <w:iCs/>
          <w:highlight w:val="lightGray"/>
        </w:rPr>
        <w:t>(bude doplněno před podpisem smlouvy)</w:t>
      </w:r>
      <w:r w:rsidR="00DA6980" w:rsidRPr="008F3754">
        <w:t xml:space="preserve"> Kč bez DPH. Paušální cena za Servisní činnost se hradí měsíčně, včetně aktuální DPH a na základě faktury vystavené Poskytovatelem a zaslané Objednateli vždy do 10. dne následujícího měsíce. Dále je Poskytovatel povinen vystavit Objednateli samostatnou fakturu za vícenáklady, které nejsou zahrnuty v komplexním servisu.</w:t>
      </w:r>
      <w:r w:rsidR="002B5735">
        <w:t xml:space="preserve"> Ceny za cestovné a práci servisního technika budou účtovány dle přílohy č. 1 této smlouvy. </w:t>
      </w:r>
    </w:p>
    <w:p w14:paraId="5D2FA1AA" w14:textId="77777777" w:rsidR="00E16D80" w:rsidRPr="00E16D80" w:rsidRDefault="00E16D80" w:rsidP="00DA6980">
      <w:pPr>
        <w:jc w:val="both"/>
        <w:rPr>
          <w:rFonts w:ascii="Times New Roman" w:hAnsi="Times New Roman"/>
          <w:sz w:val="18"/>
          <w:szCs w:val="18"/>
        </w:rPr>
      </w:pPr>
    </w:p>
    <w:p w14:paraId="52AAF117" w14:textId="1410232B" w:rsidR="00DA6980" w:rsidRDefault="00E16D80" w:rsidP="00DA6980">
      <w:pPr>
        <w:pStyle w:val="Zkladntext"/>
        <w:numPr>
          <w:ilvl w:val="0"/>
          <w:numId w:val="0"/>
        </w:numPr>
        <w:ind w:left="390" w:hanging="390"/>
      </w:pPr>
      <w:r w:rsidRPr="004F2F51">
        <w:rPr>
          <w:sz w:val="16"/>
          <w:szCs w:val="16"/>
        </w:rPr>
        <w:t>2</w:t>
      </w:r>
      <w:r w:rsidRPr="00E16D80">
        <w:t>.</w:t>
      </w:r>
      <w:r w:rsidRPr="00E16D80">
        <w:tab/>
      </w:r>
      <w:r w:rsidR="00DA6980" w:rsidRPr="008F3754">
        <w:t>V případě, že předpokládaný rozsah prací (oprav) překročí 10.000,</w:t>
      </w:r>
      <w:r w:rsidR="00D33235">
        <w:t>00</w:t>
      </w:r>
      <w:r w:rsidR="00DA6980" w:rsidRPr="008F3754">
        <w:t xml:space="preserve"> Kč bez DPH Poskytovatel vystaví Cenový návrh na</w:t>
      </w:r>
      <w:r w:rsidR="00DA6980">
        <w:t xml:space="preserve"> opravu</w:t>
      </w:r>
      <w:r w:rsidR="00D33235">
        <w:t xml:space="preserve">. </w:t>
      </w:r>
      <w:r w:rsidR="00DA6980">
        <w:t xml:space="preserve">Započetí prací ze strany Poskytovatele započne po schválení Cenového návrhu objednavatelem, respektive objednavatelem pověřenou osobou.  </w:t>
      </w:r>
    </w:p>
    <w:p w14:paraId="1C0EAA79" w14:textId="02EFD6A7" w:rsidR="00E16D80" w:rsidRPr="00E16D80" w:rsidRDefault="00E16D80" w:rsidP="00035AA8">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4B633FD4"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Pr="00DA5C1C">
          <w:rPr>
            <w:rStyle w:val="Hypertextovodkaz"/>
          </w:rPr>
          <w:t>fakturace@nemocnicenachod.cz</w:t>
        </w:r>
      </w:hyperlink>
      <w:r>
        <w:t xml:space="preserve"> a v kopii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3609816D" w:rsidR="00E16D80" w:rsidRDefault="00B63E59" w:rsidP="008140A7">
      <w:pPr>
        <w:ind w:left="426" w:hanging="426"/>
        <w:jc w:val="both"/>
        <w:rPr>
          <w:rFonts w:ascii="Times New Roman" w:hAnsi="Times New Roman"/>
          <w:sz w:val="18"/>
          <w:szCs w:val="18"/>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E16D80" w:rsidRPr="00E16D80">
        <w:rPr>
          <w:rFonts w:ascii="Times New Roman" w:hAnsi="Times New Roman"/>
          <w:sz w:val="18"/>
          <w:szCs w:val="18"/>
        </w:rPr>
        <w:t>. Tyto výkazy budou obsahovat standardně uváděné informace o průběhu a rozsahu prací. Veškeré dokumenty budou předány kontaktním osobám Objednatele v elektronické podobě</w:t>
      </w:r>
      <w:r w:rsidR="004A303C">
        <w:rPr>
          <w:rFonts w:ascii="Times New Roman" w:hAnsi="Times New Roman"/>
          <w:sz w:val="18"/>
          <w:szCs w:val="18"/>
        </w:rPr>
        <w:t xml:space="preserve"> na email: </w:t>
      </w:r>
      <w:hyperlink r:id="rId10" w:history="1">
        <w:r w:rsidR="004A303C" w:rsidRPr="009C7809">
          <w:rPr>
            <w:rStyle w:val="Hypertextovodkaz"/>
            <w:rFonts w:ascii="Times New Roman" w:hAnsi="Times New Roman"/>
            <w:sz w:val="18"/>
            <w:szCs w:val="18"/>
          </w:rPr>
          <w:t>rihova.lucie@nemocnicenachod.cz</w:t>
        </w:r>
      </w:hyperlink>
      <w:r w:rsidR="004A303C">
        <w:rPr>
          <w:rFonts w:ascii="Times New Roman" w:hAnsi="Times New Roman"/>
          <w:sz w:val="18"/>
          <w:szCs w:val="18"/>
        </w:rPr>
        <w:t xml:space="preserve"> .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40090E7A"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3982646D" w14:textId="3DADB0D4"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p>
    <w:p w14:paraId="7EEC15B5" w14:textId="77777777" w:rsidR="00E16D80" w:rsidRPr="00E16D80" w:rsidRDefault="00E16D80" w:rsidP="008140A7">
      <w:pPr>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615F5706" w:rsidR="008140A7" w:rsidRDefault="00712791" w:rsidP="00051264">
      <w:pPr>
        <w:pStyle w:val="Zkladntext"/>
        <w:numPr>
          <w:ilvl w:val="0"/>
          <w:numId w:val="22"/>
        </w:numPr>
      </w:pPr>
      <w:r w:rsidRPr="008140A7">
        <w:t xml:space="preserve">Výše smluvní ceny je garantovaná po dobu </w:t>
      </w:r>
      <w:r w:rsidR="00194DFF">
        <w:t>48</w:t>
      </w:r>
      <w:r w:rsidRPr="008140A7">
        <w:t xml:space="preserve"> měsíců od účinnosti smlouvy. S výhradou znění tohoto článku:</w:t>
      </w:r>
    </w:p>
    <w:p w14:paraId="32067F8D" w14:textId="36C48D60"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4A303C">
        <w:t>01.07</w:t>
      </w:r>
      <w:r w:rsidR="008140A7" w:rsidRPr="008140A7">
        <w:t>.</w:t>
      </w:r>
      <w:r w:rsidRPr="008140A7">
        <w:t xml:space="preserve"> kalendářního roku. K tomuto datu předkládá poskytovatel </w:t>
      </w:r>
      <w:proofErr w:type="gramStart"/>
      <w:r w:rsidRPr="008140A7">
        <w:t>požadavek - zdůvodněnou</w:t>
      </w:r>
      <w:proofErr w:type="gramEnd"/>
      <w:r w:rsidRPr="008140A7">
        <w:t xml:space="preserve">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 xml:space="preserve">Faktura Poskytovatele musí obsahovat všechny údaje vyžadované zákonem č. 563/1991 Sb., o účetnictví, v platném znění </w:t>
      </w:r>
      <w:r>
        <w:lastRenderedPageBreak/>
        <w:t>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D33235"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3C5610" w14:textId="77777777" w:rsidR="00D33235" w:rsidRDefault="00D33235" w:rsidP="00D33235">
      <w:pPr>
        <w:pStyle w:val="Odstavecseseznamem"/>
      </w:pPr>
    </w:p>
    <w:p w14:paraId="1B05CAA8" w14:textId="62E32DC6" w:rsidR="00D33235" w:rsidRDefault="00D33235" w:rsidP="00051264">
      <w:pPr>
        <w:pStyle w:val="Zkladntext"/>
      </w:pPr>
      <w:r>
        <w:t>Poskytovatel se zavazuje plnit níže uvedené požadavky:</w:t>
      </w:r>
    </w:p>
    <w:p w14:paraId="4F808A3D" w14:textId="16858E00" w:rsidR="00D33235" w:rsidRPr="009E1776" w:rsidRDefault="00D33235" w:rsidP="00D33235">
      <w:pPr>
        <w:pStyle w:val="Zkladntext"/>
        <w:numPr>
          <w:ilvl w:val="0"/>
          <w:numId w:val="26"/>
        </w:numPr>
        <w:ind w:left="993" w:hanging="284"/>
      </w:pPr>
      <w:r w:rsidRPr="0011782F">
        <w:t xml:space="preserve">doba nástupu na opravu od nahlášení závady nebo poruchy: </w:t>
      </w:r>
      <w:r w:rsidRPr="00B96E95">
        <w:t>24 hodin</w:t>
      </w:r>
      <w:r w:rsidRPr="002116C4">
        <w:t xml:space="preserve"> </w:t>
      </w:r>
      <w:r>
        <w:t xml:space="preserve">Po-Pá, </w:t>
      </w:r>
    </w:p>
    <w:p w14:paraId="11443894" w14:textId="0B76A534" w:rsidR="00D33235" w:rsidRPr="002116C4" w:rsidRDefault="00D33235" w:rsidP="00D33235">
      <w:pPr>
        <w:pStyle w:val="Zkladntext"/>
        <w:numPr>
          <w:ilvl w:val="0"/>
          <w:numId w:val="26"/>
        </w:numPr>
        <w:ind w:left="993" w:hanging="284"/>
      </w:pPr>
      <w:r w:rsidRPr="009E1776">
        <w:t>záruka na provedený servis</w:t>
      </w:r>
      <w:r w:rsidRPr="00B96E95">
        <w:t xml:space="preserve"> a náhradní díly smlouvy v délce </w:t>
      </w:r>
      <w:r w:rsidRPr="00B96E95">
        <w:rPr>
          <w:bCs/>
        </w:rPr>
        <w:t xml:space="preserve">6 </w:t>
      </w:r>
      <w:r w:rsidRPr="00B96E95">
        <w:t>měsíců</w:t>
      </w:r>
      <w:r>
        <w:t xml:space="preserve">, </w:t>
      </w:r>
    </w:p>
    <w:p w14:paraId="013B4742" w14:textId="300DF140" w:rsidR="00D33235" w:rsidRPr="009E1776" w:rsidRDefault="00D33235" w:rsidP="00D33235">
      <w:pPr>
        <w:pStyle w:val="Zkladntext"/>
        <w:numPr>
          <w:ilvl w:val="0"/>
          <w:numId w:val="26"/>
        </w:numPr>
        <w:ind w:left="993" w:hanging="284"/>
      </w:pPr>
      <w:r w:rsidRPr="009E1776">
        <w:t>četnost odborné údržby a revizí dle doporučení výrobce</w:t>
      </w:r>
      <w:r>
        <w:t xml:space="preserve">, </w:t>
      </w:r>
    </w:p>
    <w:p w14:paraId="5A295903" w14:textId="4A7ED47D" w:rsidR="00D33235" w:rsidRPr="002116C4" w:rsidRDefault="00D33235" w:rsidP="00D33235">
      <w:pPr>
        <w:pStyle w:val="Zkladntext"/>
        <w:numPr>
          <w:ilvl w:val="0"/>
          <w:numId w:val="26"/>
        </w:numPr>
        <w:ind w:left="993" w:hanging="284"/>
      </w:pPr>
      <w:r w:rsidRPr="00B96E95">
        <w:t>doba provedení opravy bez potřeby náhradního dílu</w:t>
      </w:r>
      <w:r>
        <w:t xml:space="preserve"> do </w:t>
      </w:r>
      <w:r>
        <w:rPr>
          <w:bCs/>
        </w:rPr>
        <w:t>48 hodin</w:t>
      </w:r>
      <w:r w:rsidRPr="002116C4">
        <w:t xml:space="preserve"> od nahlášení závady nebo poruchy</w:t>
      </w:r>
      <w:r>
        <w:t xml:space="preserve"> Po-Pá, </w:t>
      </w:r>
    </w:p>
    <w:p w14:paraId="7F489E1B" w14:textId="2810EB7D" w:rsidR="00D33235" w:rsidRPr="002116C4" w:rsidRDefault="00D33235" w:rsidP="00D33235">
      <w:pPr>
        <w:pStyle w:val="Zkladntext"/>
        <w:numPr>
          <w:ilvl w:val="0"/>
          <w:numId w:val="26"/>
        </w:numPr>
        <w:ind w:left="993" w:hanging="284"/>
      </w:pPr>
      <w:r w:rsidRPr="002116C4">
        <w:t>doba provedení opravy v případě potřeby náhradního dílu</w:t>
      </w:r>
      <w:r>
        <w:t xml:space="preserve"> do</w:t>
      </w:r>
      <w:r w:rsidRPr="00B96E95">
        <w:rPr>
          <w:bCs/>
        </w:rPr>
        <w:t>10 dnů</w:t>
      </w:r>
      <w:r w:rsidRPr="002116C4">
        <w:t xml:space="preserve"> od nahlášení závady nebo poruchy </w:t>
      </w:r>
      <w:r>
        <w:t xml:space="preserve">v Po-Pá, </w:t>
      </w:r>
    </w:p>
    <w:p w14:paraId="1FE66B32" w14:textId="7FBF7350" w:rsidR="00D33235" w:rsidRPr="009E1776" w:rsidRDefault="00D33235" w:rsidP="00D33235">
      <w:pPr>
        <w:pStyle w:val="Zkladntext"/>
        <w:numPr>
          <w:ilvl w:val="0"/>
          <w:numId w:val="26"/>
        </w:numPr>
        <w:ind w:left="993" w:hanging="284"/>
      </w:pPr>
      <w:r w:rsidRPr="002116C4">
        <w:t>doba provádění oprav</w:t>
      </w:r>
      <w:r>
        <w:t xml:space="preserve"> </w:t>
      </w:r>
      <w:r w:rsidRPr="002116C4">
        <w:t>pracovní</w:t>
      </w:r>
      <w:r>
        <w:t>ch</w:t>
      </w:r>
      <w:r w:rsidRPr="002116C4">
        <w:t xml:space="preserve"> dn</w:t>
      </w:r>
      <w:r>
        <w:t>ech</w:t>
      </w:r>
      <w:r w:rsidRPr="002116C4">
        <w:t xml:space="preserve"> od </w:t>
      </w:r>
      <w:r w:rsidRPr="002116C4">
        <w:rPr>
          <w:bCs/>
        </w:rPr>
        <w:t>7</w:t>
      </w:r>
      <w:r w:rsidRPr="002116C4">
        <w:t xml:space="preserve">:00 do </w:t>
      </w:r>
      <w:r w:rsidRPr="002116C4">
        <w:rPr>
          <w:bCs/>
        </w:rPr>
        <w:t>15</w:t>
      </w:r>
      <w:r w:rsidRPr="002116C4">
        <w:t>:30</w:t>
      </w:r>
      <w:r>
        <w:t xml:space="preserve"> hod.</w:t>
      </w:r>
      <w:r w:rsidRPr="002116C4">
        <w:t xml:space="preserve">, nedohodnou-li se zástupce </w:t>
      </w:r>
      <w:r>
        <w:t>poskytovatele</w:t>
      </w:r>
      <w:r w:rsidRPr="002116C4">
        <w:t xml:space="preserve"> a objednavatele jinak</w:t>
      </w:r>
      <w:r>
        <w:t xml:space="preserve">, </w:t>
      </w:r>
    </w:p>
    <w:p w14:paraId="55B5D636" w14:textId="258086FC" w:rsidR="00D33235" w:rsidRDefault="00D33235" w:rsidP="00D33235">
      <w:pPr>
        <w:pStyle w:val="Zkladntext"/>
        <w:numPr>
          <w:ilvl w:val="0"/>
          <w:numId w:val="26"/>
        </w:numPr>
        <w:ind w:left="993" w:hanging="284"/>
      </w:pPr>
      <w:r w:rsidRPr="00B96E95">
        <w:t xml:space="preserve">provádění </w:t>
      </w:r>
      <w:r>
        <w:t>PBTK</w:t>
      </w:r>
      <w:r w:rsidRPr="00B96E95">
        <w:t xml:space="preserve"> dle periodicity uvedené v příloze č. 1 této smlouvy</w:t>
      </w:r>
      <w:r>
        <w:t xml:space="preserve">, </w:t>
      </w:r>
      <w:r w:rsidRPr="00B96E95">
        <w:t>a to po vzájemné dohodě s</w:t>
      </w:r>
      <w:r>
        <w:t xml:space="preserve"> pracovníkem zdravotechniky objednavatele. </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3E122353" w:rsidR="00CF172A" w:rsidRPr="00D76DF6" w:rsidRDefault="00AF704E" w:rsidP="00051264">
      <w:pPr>
        <w:pStyle w:val="Zkladntext"/>
      </w:pPr>
      <w:bookmarkStart w:id="0" w:name="_Ref319506281"/>
      <w:r w:rsidRPr="00D76DF6">
        <w:t>Poskytovatel</w:t>
      </w:r>
      <w:r w:rsidR="00CF172A" w:rsidRPr="00D76DF6">
        <w:t xml:space="preserve"> se zavazuje provádět opravy ZP a zařízení dle Přílohy č. 1 této smlouvy v rozsahu potřebném pro obnovení funkce a bezpečnosti ZP a zařízení, a to v časových limitech a se zárukou </w:t>
      </w:r>
      <w:r w:rsidRPr="00D76DF6">
        <w:t xml:space="preserve">čl. </w:t>
      </w:r>
      <w:r w:rsidR="00D76DF6" w:rsidRPr="00D76DF6">
        <w:t>5</w:t>
      </w:r>
      <w:r w:rsidRPr="00D76DF6">
        <w:t xml:space="preserve"> odst. </w:t>
      </w:r>
      <w:r w:rsidR="00D76DF6" w:rsidRPr="00D76DF6">
        <w:t>6</w:t>
      </w:r>
      <w:r w:rsidR="00CF172A" w:rsidRPr="00D76DF6">
        <w:t xml:space="preserve"> této smlouvy. Záruka se vztahuje na dodané náhradní díly i provedené </w:t>
      </w:r>
      <w:r w:rsidRPr="00D76DF6">
        <w:t xml:space="preserve">servisní </w:t>
      </w:r>
      <w:r w:rsidR="00CF172A" w:rsidRPr="00D76DF6">
        <w:t>práce.</w:t>
      </w:r>
      <w:bookmarkEnd w:id="0"/>
    </w:p>
    <w:p w14:paraId="7C644791" w14:textId="77777777" w:rsidR="00CF172A" w:rsidRPr="00F1046E" w:rsidRDefault="00CF172A" w:rsidP="00CF172A">
      <w:pPr>
        <w:ind w:left="426"/>
        <w:jc w:val="both"/>
        <w:rPr>
          <w:bCs/>
          <w:iCs/>
        </w:rPr>
      </w:pPr>
    </w:p>
    <w:p w14:paraId="31D004DE" w14:textId="08D8B87D" w:rsidR="00AF704E" w:rsidRDefault="00CF172A" w:rsidP="00051264">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w:t>
      </w:r>
      <w:r w:rsidRPr="00954CA6">
        <w:lastRenderedPageBreak/>
        <w:t xml:space="preserve">předá </w:t>
      </w:r>
      <w:r w:rsidR="00AF704E">
        <w:t>Poskytovatel</w:t>
      </w:r>
      <w:r w:rsidRPr="00954CA6">
        <w:t xml:space="preserve"> ZP nebo zařízení Objednateli v původním stavu a je oprávněn vyúčtovat doložené náklady.</w:t>
      </w:r>
      <w:bookmarkEnd w:id="1"/>
    </w:p>
    <w:p w14:paraId="6EE066AE" w14:textId="77777777" w:rsidR="00AF704E" w:rsidRPr="00D6373F" w:rsidRDefault="00AF704E" w:rsidP="00051264">
      <w:pPr>
        <w:pStyle w:val="Zkladntext"/>
        <w:numPr>
          <w:ilvl w:val="0"/>
          <w:numId w:val="0"/>
        </w:numPr>
        <w:ind w:left="390"/>
      </w:pPr>
    </w:p>
    <w:p w14:paraId="21FD2646" w14:textId="1C7415EA" w:rsidR="0029274E" w:rsidRDefault="00D522D6" w:rsidP="00051264">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6D072830" w:rsidR="00D522D6" w:rsidRPr="00452127" w:rsidRDefault="00D522D6" w:rsidP="00051264">
      <w:pPr>
        <w:pStyle w:val="Zkladntext"/>
      </w:pPr>
      <w:r w:rsidRPr="00024D64">
        <w:t xml:space="preserve">Poskytovatel je při prodlení s prováděním Opravy povinen zaplatit Objednateli smluvní pokutu ve </w:t>
      </w:r>
      <w:r w:rsidRPr="00452127">
        <w:t>výši</w:t>
      </w:r>
      <w:r w:rsidR="00452127" w:rsidRPr="00452127">
        <w:t xml:space="preserve"> </w:t>
      </w:r>
      <w:r w:rsidR="00D76DF6">
        <w:t>500</w:t>
      </w:r>
      <w:r w:rsidR="00AF704E" w:rsidRPr="00452127">
        <w:t>,00 Kč</w:t>
      </w:r>
      <w:r w:rsidRPr="00452127">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6025E3A6" w:rsidR="00AF704E" w:rsidRDefault="00AF704E" w:rsidP="00051264">
      <w:pPr>
        <w:pStyle w:val="Zkladntext"/>
      </w:pPr>
      <w:r w:rsidRPr="00AF704E">
        <w:t xml:space="preserve">Smluvní pokuta při nedodržení časových limitů servisních zásahů činí </w:t>
      </w:r>
      <w:r w:rsidRPr="00452127">
        <w:t>1.</w:t>
      </w:r>
      <w:r w:rsidR="00452127" w:rsidRPr="00452127">
        <w:t>0</w:t>
      </w:r>
      <w:r w:rsidRPr="00452127">
        <w:t>00</w:t>
      </w:r>
      <w:r w:rsidR="00083147" w:rsidRPr="00452127">
        <w:t>,00</w:t>
      </w:r>
      <w:r w:rsidRPr="00452127">
        <w:t xml:space="preserve"> Kč </w:t>
      </w:r>
      <w:r w:rsidRPr="00AF704E">
        <w:t xml:space="preserve">za každý i započatý den prodlení. </w:t>
      </w:r>
    </w:p>
    <w:p w14:paraId="7DF779F6" w14:textId="77777777" w:rsidR="0031233C" w:rsidRDefault="0031233C" w:rsidP="0031233C">
      <w:pPr>
        <w:pStyle w:val="Odstavecseseznamem"/>
      </w:pPr>
    </w:p>
    <w:p w14:paraId="6D9165B3" w14:textId="2846518B"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w:t>
      </w:r>
      <w:r w:rsidR="00083147" w:rsidRPr="00452127">
        <w:t>1.</w:t>
      </w:r>
      <w:r w:rsidR="00D76DF6">
        <w:t>0</w:t>
      </w:r>
      <w:r w:rsidR="00083147" w:rsidRPr="00452127">
        <w:t xml:space="preserve">00,00 </w:t>
      </w:r>
      <w:r w:rsidR="00083147">
        <w:t xml:space="preserve">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5746B044"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 xml:space="preserve">(pokud </w:t>
      </w:r>
      <w:proofErr w:type="gramStart"/>
      <w:r w:rsidRPr="00051264">
        <w:rPr>
          <w:highlight w:val="yellow"/>
        </w:rPr>
        <w:t>naplňuje - účastník</w:t>
      </w:r>
      <w:proofErr w:type="gramEnd"/>
      <w:r w:rsidRPr="00051264">
        <w:rPr>
          <w:highlight w:val="yellow"/>
        </w:rPr>
        <w:t xml:space="preserve"> barevně označí ustanovení, která naplňují znaky obchodního tajemství)</w:t>
      </w:r>
      <w:r w:rsidRPr="00B210A5">
        <w:t xml:space="preserve"> znaky obchodního tajemství (</w:t>
      </w:r>
      <w:proofErr w:type="spellStart"/>
      <w:r w:rsidRPr="00B210A5">
        <w:t>ust</w:t>
      </w:r>
      <w:proofErr w:type="spellEnd"/>
      <w:r w:rsidRPr="00B210A5">
        <w: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Za důvěrnou informaci se pro účely této smlouvy považují všechny informace, které jedna strana získala v průběhu plnění smlouvy od druhé smluvní strany, a to i když se nejedná o obchodní tajemství dle OZ, stejně jako i know-how, kterým </w:t>
      </w:r>
      <w:r w:rsidRPr="00B210A5">
        <w:rPr>
          <w:rFonts w:ascii="Times New Roman" w:hAnsi="Times New Roman"/>
          <w:sz w:val="18"/>
          <w:szCs w:val="18"/>
        </w:rPr>
        <w:lastRenderedPageBreak/>
        <w:t>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Pr="00D76DF6" w:rsidRDefault="006A0E18" w:rsidP="0093154B">
      <w:pPr>
        <w:pStyle w:val="Nadpis1"/>
      </w:pPr>
      <w:r w:rsidRPr="00D76DF6">
        <w:t>Doba a platnost smlouvy</w:t>
      </w:r>
    </w:p>
    <w:p w14:paraId="0AFE12DC" w14:textId="7033942E"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281F23">
        <w:t xml:space="preserve">této smlouvy. </w:t>
      </w:r>
      <w:r w:rsidR="00D6373F" w:rsidRPr="00D76DF6">
        <w:t xml:space="preserve">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77D022F9" w:rsidR="00D522D6" w:rsidRPr="003D4BD7" w:rsidRDefault="00DC0EFE" w:rsidP="006C6EF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 xml:space="preserve">Tato Smlouva představuje úplnou dohodu smluvních stran o předmětu této smlouvy a nahrazuje veškerá předešlá ujednání </w:t>
      </w:r>
      <w:r>
        <w:lastRenderedPageBreak/>
        <w:t>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5193F330" w14:textId="77777777" w:rsidR="00697F60" w:rsidRDefault="00697F60" w:rsidP="00051264">
      <w:pPr>
        <w:pStyle w:val="Zkladntext"/>
        <w:numPr>
          <w:ilvl w:val="0"/>
          <w:numId w:val="0"/>
        </w:numPr>
        <w:ind w:left="390"/>
      </w:pPr>
    </w:p>
    <w:p w14:paraId="71AD34AA" w14:textId="2A7BF57C" w:rsidR="00727FBA" w:rsidRDefault="00697F60" w:rsidP="00051264">
      <w:pPr>
        <w:pStyle w:val="Zkladntext"/>
      </w:pPr>
      <w:r>
        <w:t xml:space="preserve">Poskytovatel </w:t>
      </w:r>
      <w:r w:rsidR="00727FBA" w:rsidRPr="00727FBA">
        <w:t xml:space="preserve">má povinnost do 15. dne po skončení každého kalendářního čtvrtletí zaslat kupujícímu, na email: </w:t>
      </w:r>
      <w:hyperlink r:id="rId12" w:history="1">
        <w:r w:rsidR="00727FBA" w:rsidRPr="000E361A">
          <w:rPr>
            <w:rStyle w:val="Hypertextovodkaz"/>
          </w:rPr>
          <w:t>svobodova.katerina@nemocnicenachod.cz</w:t>
        </w:r>
      </w:hyperlink>
      <w:r w:rsidR="00727FBA">
        <w:t xml:space="preserve"> </w:t>
      </w:r>
      <w:r w:rsidR="00727FBA" w:rsidRPr="00727FBA">
        <w:t xml:space="preserve">, přehled vyčerpaných dodávek a služeb od všech příslušných dílčích kupujících, následně kupující přehled uveřejní v souladu s ustanovením § 219 odst. 1 a odst. 3 ZZVZ. </w:t>
      </w:r>
    </w:p>
    <w:p w14:paraId="39A4B8CC" w14:textId="1CCA5C9D" w:rsidR="00727FBA" w:rsidRPr="00727FBA" w:rsidRDefault="00727FBA" w:rsidP="00051264">
      <w:pPr>
        <w:pStyle w:val="Zkladntext"/>
        <w:numPr>
          <w:ilvl w:val="0"/>
          <w:numId w:val="0"/>
        </w:numPr>
        <w:ind w:left="390"/>
      </w:pPr>
      <w:r w:rsidRPr="00727FBA">
        <w:t xml:space="preserve">V přehledu objednaného zboží musí být uvedeno min. toto: </w:t>
      </w:r>
    </w:p>
    <w:p w14:paraId="7F523A5B" w14:textId="77777777" w:rsidR="00727FBA" w:rsidRPr="00727FBA" w:rsidRDefault="00727FBA" w:rsidP="00051264">
      <w:pPr>
        <w:pStyle w:val="Zkladntext"/>
        <w:numPr>
          <w:ilvl w:val="0"/>
          <w:numId w:val="13"/>
        </w:numPr>
      </w:pPr>
      <w:r w:rsidRPr="00727FBA">
        <w:t>identifikace objednaného zboží,</w:t>
      </w:r>
    </w:p>
    <w:p w14:paraId="1095A382" w14:textId="77777777" w:rsidR="00727FBA" w:rsidRPr="00727FBA" w:rsidRDefault="00727FBA" w:rsidP="00051264">
      <w:pPr>
        <w:pStyle w:val="Zkladntext"/>
        <w:numPr>
          <w:ilvl w:val="0"/>
          <w:numId w:val="13"/>
        </w:numPr>
      </w:pPr>
      <w:r w:rsidRPr="00727FBA">
        <w:t>množství objednaného zboží,</w:t>
      </w:r>
    </w:p>
    <w:p w14:paraId="57AE5BD0" w14:textId="77777777" w:rsidR="00727FBA" w:rsidRPr="00727FBA" w:rsidRDefault="00727FBA" w:rsidP="00051264">
      <w:pPr>
        <w:pStyle w:val="Zkladntext"/>
        <w:numPr>
          <w:ilvl w:val="0"/>
          <w:numId w:val="13"/>
        </w:numPr>
      </w:pPr>
      <w:r w:rsidRPr="00727FBA">
        <w:t>cena objednaného zboží,</w:t>
      </w:r>
    </w:p>
    <w:p w14:paraId="57050D22" w14:textId="77777777" w:rsidR="00727FBA" w:rsidRPr="00727FBA" w:rsidRDefault="00727FBA" w:rsidP="00051264">
      <w:pPr>
        <w:pStyle w:val="Zkladntext"/>
        <w:numPr>
          <w:ilvl w:val="0"/>
          <w:numId w:val="13"/>
        </w:numPr>
      </w:pPr>
      <w:r w:rsidRPr="00727FBA">
        <w:t>datum objednávky.</w:t>
      </w:r>
    </w:p>
    <w:p w14:paraId="17E0DD90" w14:textId="645C9CAB" w:rsidR="00727FBA" w:rsidRDefault="00727FBA" w:rsidP="00051264">
      <w:pPr>
        <w:pStyle w:val="Zkladntext"/>
        <w:numPr>
          <w:ilvl w:val="0"/>
          <w:numId w:val="0"/>
        </w:numPr>
        <w:ind w:left="390"/>
      </w:pPr>
      <w:r w:rsidRPr="00727FBA">
        <w:t>Přehled musí být předložen ve formátu MS Excel nebo s ním kompatibilním.</w:t>
      </w:r>
    </w:p>
    <w:p w14:paraId="64007414" w14:textId="77777777" w:rsidR="0029274E" w:rsidRDefault="0029274E" w:rsidP="00051264">
      <w:pPr>
        <w:pStyle w:val="Zkladntext"/>
        <w:numPr>
          <w:ilvl w:val="0"/>
          <w:numId w:val="0"/>
        </w:numPr>
        <w:ind w:left="390"/>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606F574" w:rsidR="001E6AAD" w:rsidRDefault="001E6AAD" w:rsidP="00051264">
      <w:pPr>
        <w:pStyle w:val="Zkladntext"/>
        <w:numPr>
          <w:ilvl w:val="0"/>
          <w:numId w:val="0"/>
        </w:numPr>
        <w:ind w:left="390"/>
      </w:pPr>
      <w:r>
        <w:t xml:space="preserve">Příloha č. 1 </w:t>
      </w:r>
      <w:r w:rsidR="00D76DF6">
        <w:t xml:space="preserve">Seznam ZP </w:t>
      </w:r>
      <w:r w:rsidR="00D76DF6" w:rsidRPr="00D76DF6">
        <w:rPr>
          <w:i/>
          <w:iCs/>
        </w:rPr>
        <w:t>(dle Přílohy č. 2 ZD)</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083E0B76" w14:textId="77777777"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 Náchodě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0BCE472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t>RNDr. Bc. Jan Mach</w:t>
      </w:r>
    </w:p>
    <w:p w14:paraId="67D85B47" w14:textId="0557CE26"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t>Předseda správní rady</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43EFB48" w14:textId="77777777" w:rsidR="00F52443" w:rsidRDefault="00F52443" w:rsidP="00D522D6">
      <w:pPr>
        <w:jc w:val="both"/>
        <w:rPr>
          <w:rFonts w:ascii="Times New Roman" w:hAnsi="Times New Roman"/>
          <w:sz w:val="18"/>
          <w:szCs w:val="18"/>
        </w:rPr>
      </w:pPr>
    </w:p>
    <w:p w14:paraId="62BCAB79" w14:textId="77777777" w:rsidR="00AC09B6" w:rsidRDefault="00AC09B6" w:rsidP="00D522D6">
      <w:pPr>
        <w:jc w:val="both"/>
        <w:rPr>
          <w:rFonts w:ascii="Times New Roman" w:hAnsi="Times New Roman"/>
          <w:sz w:val="18"/>
          <w:szCs w:val="18"/>
        </w:rPr>
      </w:pPr>
    </w:p>
    <w:p w14:paraId="771512FD" w14:textId="77777777" w:rsidR="00AC09B6" w:rsidRDefault="00AC09B6" w:rsidP="00D522D6">
      <w:pPr>
        <w:jc w:val="both"/>
        <w:rPr>
          <w:rFonts w:ascii="Times New Roman" w:hAnsi="Times New Roman"/>
          <w:sz w:val="18"/>
          <w:szCs w:val="18"/>
        </w:rPr>
      </w:pPr>
    </w:p>
    <w:p w14:paraId="07AB4814" w14:textId="77777777" w:rsidR="00AC09B6" w:rsidRDefault="00AC09B6" w:rsidP="00D522D6">
      <w:pPr>
        <w:jc w:val="both"/>
        <w:rPr>
          <w:rFonts w:ascii="Times New Roman" w:hAnsi="Times New Roman"/>
          <w:sz w:val="18"/>
          <w:szCs w:val="18"/>
        </w:rPr>
      </w:pPr>
    </w:p>
    <w:p w14:paraId="76037BA8" w14:textId="77777777" w:rsidR="00AC09B6" w:rsidRDefault="00AC09B6" w:rsidP="00D522D6">
      <w:pPr>
        <w:jc w:val="both"/>
        <w:rPr>
          <w:rFonts w:ascii="Times New Roman" w:hAnsi="Times New Roman"/>
          <w:sz w:val="18"/>
          <w:szCs w:val="18"/>
        </w:rPr>
      </w:pPr>
    </w:p>
    <w:p w14:paraId="22EA7303" w14:textId="77777777" w:rsidR="00AC09B6" w:rsidRDefault="00AC09B6" w:rsidP="00D522D6">
      <w:pPr>
        <w:jc w:val="both"/>
        <w:rPr>
          <w:rFonts w:ascii="Times New Roman" w:hAnsi="Times New Roman"/>
          <w:sz w:val="18"/>
          <w:szCs w:val="18"/>
        </w:rPr>
      </w:pPr>
    </w:p>
    <w:p w14:paraId="31015FEB" w14:textId="77777777" w:rsidR="00AC09B6" w:rsidRDefault="00AC09B6" w:rsidP="00D522D6">
      <w:pPr>
        <w:jc w:val="both"/>
        <w:rPr>
          <w:rFonts w:ascii="Times New Roman" w:hAnsi="Times New Roman"/>
          <w:sz w:val="18"/>
          <w:szCs w:val="18"/>
        </w:rPr>
      </w:pPr>
    </w:p>
    <w:p w14:paraId="79454FF2" w14:textId="77777777" w:rsidR="00AC09B6" w:rsidRDefault="00AC09B6" w:rsidP="00D522D6">
      <w:pPr>
        <w:jc w:val="both"/>
        <w:rPr>
          <w:rFonts w:ascii="Times New Roman" w:hAnsi="Times New Roman"/>
          <w:sz w:val="18"/>
          <w:szCs w:val="18"/>
        </w:rPr>
      </w:pPr>
    </w:p>
    <w:p w14:paraId="1E855A64" w14:textId="77777777" w:rsidR="00AC09B6" w:rsidRDefault="00AC09B6" w:rsidP="00D522D6">
      <w:pPr>
        <w:jc w:val="both"/>
        <w:rPr>
          <w:rFonts w:ascii="Times New Roman" w:hAnsi="Times New Roman"/>
          <w:sz w:val="18"/>
          <w:szCs w:val="18"/>
        </w:rPr>
      </w:pPr>
    </w:p>
    <w:p w14:paraId="22C111D6" w14:textId="77777777" w:rsidR="00AC09B6" w:rsidRDefault="00AC09B6" w:rsidP="00D522D6">
      <w:pPr>
        <w:jc w:val="both"/>
        <w:rPr>
          <w:rFonts w:ascii="Times New Roman" w:hAnsi="Times New Roman"/>
          <w:sz w:val="18"/>
          <w:szCs w:val="18"/>
        </w:rPr>
      </w:pPr>
    </w:p>
    <w:p w14:paraId="21BA2005" w14:textId="77777777" w:rsidR="00AC09B6" w:rsidRDefault="00AC09B6" w:rsidP="00D522D6">
      <w:pPr>
        <w:jc w:val="both"/>
        <w:rPr>
          <w:rFonts w:ascii="Times New Roman" w:hAnsi="Times New Roman"/>
          <w:sz w:val="18"/>
          <w:szCs w:val="18"/>
        </w:rPr>
      </w:pPr>
    </w:p>
    <w:p w14:paraId="32BEB6B2" w14:textId="77777777" w:rsidR="00AC09B6" w:rsidRDefault="00AC09B6" w:rsidP="00D522D6">
      <w:pPr>
        <w:jc w:val="both"/>
        <w:rPr>
          <w:rFonts w:ascii="Times New Roman" w:hAnsi="Times New Roman"/>
          <w:sz w:val="18"/>
          <w:szCs w:val="18"/>
        </w:rPr>
      </w:pPr>
    </w:p>
    <w:p w14:paraId="425E52D9" w14:textId="77777777" w:rsidR="00AC09B6" w:rsidRDefault="00AC09B6"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default" r:id="rId13"/>
      <w:footerReference w:type="default" r:id="rId14"/>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49E15968" w14:textId="77777777" w:rsidR="004A303C" w:rsidRPr="009F3EC1" w:rsidRDefault="004A303C" w:rsidP="004A303C">
      <w:pPr>
        <w:pStyle w:val="Textpoznpodarou"/>
        <w:jc w:val="both"/>
        <w:rPr>
          <w:rFonts w:ascii="Times New Roman" w:hAnsi="Times New Roman"/>
        </w:rPr>
      </w:pPr>
      <w:r w:rsidRPr="009F3EC1">
        <w:rPr>
          <w:rStyle w:val="Znakapoznpodarou"/>
          <w:rFonts w:ascii="Times New Roman" w:hAnsi="Times New Roman"/>
        </w:rPr>
        <w:footnoteRef/>
      </w:r>
      <w:r w:rsidRPr="009F3EC1">
        <w:rPr>
          <w:rFonts w:ascii="Times New Roman" w:hAnsi="Times New Roman"/>
        </w:rPr>
        <w:t xml:space="preserve"> </w:t>
      </w:r>
      <w:r w:rsidRPr="009F3EC1">
        <w:rPr>
          <w:rFonts w:ascii="Times New Roman" w:hAnsi="Times New Roman"/>
          <w:i/>
          <w:iCs/>
          <w:color w:val="FF0000"/>
          <w:sz w:val="18"/>
          <w:szCs w:val="18"/>
        </w:rPr>
        <w:t>Poskytovatel je povinen doklady o kvalifikaci zaměstnanců předložit nejpozději před podpisem smlouvy, dále je povinen předložit doklady o kvalifikaci zaměstnanců (servisních techniků) v případě nástupu nového zaměstnance, který bude provádět servisní činnosti v souladu s touto smlouvou</w:t>
      </w:r>
      <w:r>
        <w:rPr>
          <w:rFonts w:ascii="Times New Roman" w:hAnsi="Times New Roman"/>
          <w:i/>
          <w:iCs/>
          <w:color w:val="FF0000"/>
          <w:sz w:val="18"/>
          <w:szCs w:val="18"/>
        </w:rPr>
        <w:t>, a jehož doklady nebyli předloženy před podpisem této smlouvy.</w:t>
      </w:r>
      <w:r w:rsidRPr="009F3EC1">
        <w:rPr>
          <w:rFonts w:ascii="Times New Roman" w:hAnsi="Times New Roman"/>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31B896A6" w:rsidR="006B4A95" w:rsidRPr="006B4A95" w:rsidRDefault="006B4A95">
    <w:pPr>
      <w:pStyle w:val="Zhlav"/>
      <w:rPr>
        <w:rFonts w:ascii="Times New Roman" w:hAnsi="Times New Roman"/>
      </w:rPr>
    </w:pPr>
    <w:r w:rsidRPr="006B4A95">
      <w:rPr>
        <w:rFonts w:ascii="Times New Roman" w:hAnsi="Times New Roman"/>
      </w:rPr>
      <w:t>Příloha č. 4.1_zadávací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4"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5"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7"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9522B13"/>
    <w:multiLevelType w:val="multilevel"/>
    <w:tmpl w:val="AC721D1A"/>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1"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2"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26893859">
    <w:abstractNumId w:val="8"/>
  </w:num>
  <w:num w:numId="2" w16cid:durableId="631403740">
    <w:abstractNumId w:val="4"/>
  </w:num>
  <w:num w:numId="3" w16cid:durableId="1153642933">
    <w:abstractNumId w:val="12"/>
  </w:num>
  <w:num w:numId="4" w16cid:durableId="426930021">
    <w:abstractNumId w:val="6"/>
  </w:num>
  <w:num w:numId="5" w16cid:durableId="350910525">
    <w:abstractNumId w:val="10"/>
  </w:num>
  <w:num w:numId="6" w16cid:durableId="956331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746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678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149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0637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3953992">
    <w:abstractNumId w:val="10"/>
  </w:num>
  <w:num w:numId="12" w16cid:durableId="1710571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045440">
    <w:abstractNumId w:val="13"/>
  </w:num>
  <w:num w:numId="14" w16cid:durableId="16932156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2249602">
    <w:abstractNumId w:val="9"/>
  </w:num>
  <w:num w:numId="16" w16cid:durableId="1830558206">
    <w:abstractNumId w:val="0"/>
  </w:num>
  <w:num w:numId="17" w16cid:durableId="610940916">
    <w:abstractNumId w:val="3"/>
  </w:num>
  <w:num w:numId="18" w16cid:durableId="835417102">
    <w:abstractNumId w:val="5"/>
  </w:num>
  <w:num w:numId="19" w16cid:durableId="1811709816">
    <w:abstractNumId w:val="2"/>
  </w:num>
  <w:num w:numId="20" w16cid:durableId="1830557996">
    <w:abstractNumId w:val="10"/>
  </w:num>
  <w:num w:numId="21" w16cid:durableId="139226594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672573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6285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0055278">
    <w:abstractNumId w:val="1"/>
  </w:num>
  <w:num w:numId="25" w16cid:durableId="1099563197">
    <w:abstractNumId w:val="11"/>
  </w:num>
  <w:num w:numId="26" w16cid:durableId="162824431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3156"/>
    <w:rsid w:val="0005706C"/>
    <w:rsid w:val="00083147"/>
    <w:rsid w:val="000C0BB6"/>
    <w:rsid w:val="000C7430"/>
    <w:rsid w:val="000D696E"/>
    <w:rsid w:val="000E0236"/>
    <w:rsid w:val="00105183"/>
    <w:rsid w:val="00127965"/>
    <w:rsid w:val="00131B80"/>
    <w:rsid w:val="00147B91"/>
    <w:rsid w:val="00153D12"/>
    <w:rsid w:val="0017302E"/>
    <w:rsid w:val="0017423C"/>
    <w:rsid w:val="00184438"/>
    <w:rsid w:val="00194DFF"/>
    <w:rsid w:val="001A09F1"/>
    <w:rsid w:val="001A15CC"/>
    <w:rsid w:val="001A253D"/>
    <w:rsid w:val="001E6AAD"/>
    <w:rsid w:val="002160E3"/>
    <w:rsid w:val="00235678"/>
    <w:rsid w:val="00246F67"/>
    <w:rsid w:val="00281F23"/>
    <w:rsid w:val="00290B93"/>
    <w:rsid w:val="0029274E"/>
    <w:rsid w:val="002B1D8F"/>
    <w:rsid w:val="002B5735"/>
    <w:rsid w:val="002C366F"/>
    <w:rsid w:val="0031233C"/>
    <w:rsid w:val="00317259"/>
    <w:rsid w:val="0034099B"/>
    <w:rsid w:val="0034388B"/>
    <w:rsid w:val="0035032A"/>
    <w:rsid w:val="00374D69"/>
    <w:rsid w:val="003763BD"/>
    <w:rsid w:val="003A1F9F"/>
    <w:rsid w:val="003D4BD7"/>
    <w:rsid w:val="00452127"/>
    <w:rsid w:val="00460827"/>
    <w:rsid w:val="0047608A"/>
    <w:rsid w:val="00497AEF"/>
    <w:rsid w:val="004A303C"/>
    <w:rsid w:val="004B2617"/>
    <w:rsid w:val="004F2F51"/>
    <w:rsid w:val="005003C2"/>
    <w:rsid w:val="00502DB7"/>
    <w:rsid w:val="005128A8"/>
    <w:rsid w:val="00522FA5"/>
    <w:rsid w:val="0056039E"/>
    <w:rsid w:val="005774E5"/>
    <w:rsid w:val="00586AFF"/>
    <w:rsid w:val="005972F6"/>
    <w:rsid w:val="005A4220"/>
    <w:rsid w:val="005A502B"/>
    <w:rsid w:val="006045D0"/>
    <w:rsid w:val="00616D63"/>
    <w:rsid w:val="00624610"/>
    <w:rsid w:val="00631815"/>
    <w:rsid w:val="00664742"/>
    <w:rsid w:val="00666FEF"/>
    <w:rsid w:val="00672597"/>
    <w:rsid w:val="00683074"/>
    <w:rsid w:val="00697F60"/>
    <w:rsid w:val="006A0E18"/>
    <w:rsid w:val="006B4A95"/>
    <w:rsid w:val="006C21CC"/>
    <w:rsid w:val="006C3C13"/>
    <w:rsid w:val="006C6EF8"/>
    <w:rsid w:val="00712791"/>
    <w:rsid w:val="00727FBA"/>
    <w:rsid w:val="007404F0"/>
    <w:rsid w:val="00757FF9"/>
    <w:rsid w:val="00764C11"/>
    <w:rsid w:val="00797B8A"/>
    <w:rsid w:val="007A6982"/>
    <w:rsid w:val="007B2ABF"/>
    <w:rsid w:val="007D0CED"/>
    <w:rsid w:val="0080270F"/>
    <w:rsid w:val="008140A7"/>
    <w:rsid w:val="00815206"/>
    <w:rsid w:val="00815972"/>
    <w:rsid w:val="00830141"/>
    <w:rsid w:val="00854E7F"/>
    <w:rsid w:val="0089432E"/>
    <w:rsid w:val="008D065A"/>
    <w:rsid w:val="008D7281"/>
    <w:rsid w:val="008F0B55"/>
    <w:rsid w:val="00907700"/>
    <w:rsid w:val="009100F3"/>
    <w:rsid w:val="0093154B"/>
    <w:rsid w:val="00953124"/>
    <w:rsid w:val="00997194"/>
    <w:rsid w:val="009C3DE7"/>
    <w:rsid w:val="009F71AB"/>
    <w:rsid w:val="00A020D9"/>
    <w:rsid w:val="00A11924"/>
    <w:rsid w:val="00A12B6E"/>
    <w:rsid w:val="00A32021"/>
    <w:rsid w:val="00A50440"/>
    <w:rsid w:val="00A94312"/>
    <w:rsid w:val="00AC09B6"/>
    <w:rsid w:val="00AF704E"/>
    <w:rsid w:val="00B06020"/>
    <w:rsid w:val="00B210A5"/>
    <w:rsid w:val="00B42EA5"/>
    <w:rsid w:val="00B43527"/>
    <w:rsid w:val="00B63E59"/>
    <w:rsid w:val="00B742BE"/>
    <w:rsid w:val="00BB1BD0"/>
    <w:rsid w:val="00BB7E3E"/>
    <w:rsid w:val="00BC41E7"/>
    <w:rsid w:val="00BD59FD"/>
    <w:rsid w:val="00C0654C"/>
    <w:rsid w:val="00C83B58"/>
    <w:rsid w:val="00C95DAC"/>
    <w:rsid w:val="00CA3E37"/>
    <w:rsid w:val="00CD0A6B"/>
    <w:rsid w:val="00CF172A"/>
    <w:rsid w:val="00D33235"/>
    <w:rsid w:val="00D43F89"/>
    <w:rsid w:val="00D45CF4"/>
    <w:rsid w:val="00D522D6"/>
    <w:rsid w:val="00D6373F"/>
    <w:rsid w:val="00D75E62"/>
    <w:rsid w:val="00D76DF6"/>
    <w:rsid w:val="00D8637B"/>
    <w:rsid w:val="00DA23C0"/>
    <w:rsid w:val="00DA25FD"/>
    <w:rsid w:val="00DA6980"/>
    <w:rsid w:val="00DC0EFE"/>
    <w:rsid w:val="00DC4D97"/>
    <w:rsid w:val="00E16D80"/>
    <w:rsid w:val="00E25225"/>
    <w:rsid w:val="00E623E7"/>
    <w:rsid w:val="00E83200"/>
    <w:rsid w:val="00F1600D"/>
    <w:rsid w:val="00F52443"/>
    <w:rsid w:val="00F84013"/>
    <w:rsid w:val="00FC4611"/>
    <w:rsid w:val="00FD59A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4A303C"/>
    <w:rPr>
      <w:szCs w:val="20"/>
    </w:rPr>
  </w:style>
  <w:style w:type="character" w:customStyle="1" w:styleId="TextpoznpodarouChar">
    <w:name w:val="Text pozn. pod čarou Char"/>
    <w:basedOn w:val="Standardnpsmoodstavce"/>
    <w:link w:val="Textpoznpodarou"/>
    <w:uiPriority w:val="99"/>
    <w:semiHidden/>
    <w:rsid w:val="004A303C"/>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4A3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hova.lucie@nemocnicenachod.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obodova.katerina@nemocnicenachod.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odok.cz/attachment/-/down/RCIAAPNEQ20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hova.lucie@nemocnicenachod.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AA78-D151-41D0-BB98-74B4C247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Pages>
  <Words>4430</Words>
  <Characters>26140</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22</cp:revision>
  <cp:lastPrinted>2022-12-01T07:52:00Z</cp:lastPrinted>
  <dcterms:created xsi:type="dcterms:W3CDTF">2025-03-06T14:18:00Z</dcterms:created>
  <dcterms:modified xsi:type="dcterms:W3CDTF">2025-04-25T11:27:00Z</dcterms:modified>
  <dc:language>cs-CZ</dc:language>
</cp:coreProperties>
</file>