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C3C91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05D7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shd w:val="clear" w:color="auto" w:fill="CCC0D9" w:themeFill="accent4" w:themeFillTint="66"/>
            <w:vAlign w:val="center"/>
          </w:tcPr>
          <w:p w14:paraId="52D02C3E" w14:textId="77777777" w:rsidR="00175250" w:rsidRPr="001B0B67" w:rsidRDefault="00175250" w:rsidP="00175250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09785" w14:textId="17C55697" w:rsidR="00F269F0" w:rsidRPr="001B0B67" w:rsidRDefault="00343CDC" w:rsidP="000D31B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0B67">
              <w:rPr>
                <w:rFonts w:ascii="Arial" w:hAnsi="Arial" w:cs="Arial"/>
                <w:b/>
                <w:sz w:val="20"/>
                <w:szCs w:val="20"/>
              </w:rPr>
              <w:t>Dodávka zdravotnických přístrojů pro ZZS KHK – část 3) Resuscitační přístroje pro automatickou srdeční masáž – 3 ks</w:t>
            </w:r>
            <w:bookmarkStart w:id="0" w:name="_GoBack"/>
            <w:bookmarkEnd w:id="0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2CDF2FE" w:rsidR="00F86835" w:rsidRPr="00CB5F85" w:rsidRDefault="0044001A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ED100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00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E225690" w:rsidR="00C5658A" w:rsidRPr="00ED1005" w:rsidRDefault="00C2260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1005">
              <w:rPr>
                <w:rFonts w:ascii="Arial" w:hAnsi="Arial" w:cs="Arial"/>
                <w:sz w:val="20"/>
                <w:szCs w:val="20"/>
              </w:rPr>
              <w:t>Zjednodušené podlimitní řízení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1D46D428" w:rsidR="001D5358" w:rsidRPr="00902649" w:rsidRDefault="0017525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49C0327D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5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0A848169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 xml:space="preserve">Celková </w:t>
            </w:r>
            <w:r w:rsidR="00175250" w:rsidRPr="00175250">
              <w:rPr>
                <w:rFonts w:ascii="Arial" w:hAnsi="Arial" w:cs="Arial"/>
                <w:bCs/>
                <w:sz w:val="20"/>
                <w:szCs w:val="20"/>
              </w:rPr>
              <w:t xml:space="preserve">nabídková </w:t>
            </w:r>
            <w:r w:rsidRPr="00175250">
              <w:rPr>
                <w:rFonts w:ascii="Arial" w:hAnsi="Arial" w:cs="Arial"/>
                <w:bCs/>
                <w:sz w:val="20"/>
                <w:szCs w:val="20"/>
              </w:rPr>
              <w:t>cena v Kč 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66EF82C4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561D7B71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6CA00D73" w:rsidR="001E554C" w:rsidRPr="00175250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10135D7D" w14:textId="45168278" w:rsidR="00175250" w:rsidRDefault="0017525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B980DDD" w14:textId="1523392E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355640B" w14:textId="7F181186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9654E65" w14:textId="77777777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62E264" w14:textId="77777777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F4DC15E" w14:textId="77777777" w:rsidR="00C22600" w:rsidRDefault="0036342E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P</w:t>
      </w:r>
      <w:r w:rsidR="00C50EAC" w:rsidRPr="00C50EAC">
        <w:rPr>
          <w:rFonts w:ascii="Arial" w:hAnsi="Arial" w:cs="Arial"/>
          <w:b/>
          <w:bCs/>
          <w:sz w:val="24"/>
          <w:szCs w:val="32"/>
        </w:rPr>
        <w:t>rohlášení o kvalifikaci</w:t>
      </w:r>
      <w:r w:rsidR="00175250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2E96CA7E" w14:textId="5793E1E4" w:rsidR="00C50EAC" w:rsidRDefault="00C50EAC" w:rsidP="00C226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základní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rFonts w:ascii="Arial" w:hAnsi="Arial" w:cs="Arial"/>
          <w:bCs/>
          <w:sz w:val="20"/>
          <w:szCs w:val="20"/>
        </w:rPr>
        <w:t>č. 3 zákona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profesní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5D8B994" w14:textId="77777777" w:rsidR="00444572" w:rsidRDefault="00444572" w:rsidP="00444572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06177549" w14:textId="518A81C9" w:rsidR="00444572" w:rsidRDefault="000724C2" w:rsidP="0044457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</w:t>
      </w:r>
      <w:r w:rsidRPr="00444572">
        <w:rPr>
          <w:rFonts w:ascii="Arial" w:hAnsi="Arial" w:cs="Arial"/>
          <w:b/>
          <w:sz w:val="20"/>
          <w:szCs w:val="20"/>
          <w:u w:val="single"/>
        </w:rPr>
        <w:t>technické kvalifikace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</w:t>
      </w:r>
      <w:r w:rsidR="00C22600">
        <w:rPr>
          <w:rFonts w:ascii="Arial" w:hAnsi="Arial" w:cs="Arial"/>
          <w:b/>
          <w:sz w:val="20"/>
          <w:szCs w:val="20"/>
        </w:rPr>
        <w:t>S</w:t>
      </w:r>
      <w:r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  <w:r w:rsidR="00444572">
        <w:rPr>
          <w:rFonts w:ascii="Arial" w:hAnsi="Arial" w:cs="Arial"/>
          <w:b/>
          <w:sz w:val="20"/>
          <w:szCs w:val="20"/>
        </w:rPr>
        <w:t xml:space="preserve"> poskytnutých za poslední </w:t>
      </w:r>
      <w:r w:rsidR="00C22600">
        <w:rPr>
          <w:rFonts w:ascii="Arial" w:hAnsi="Arial" w:cs="Arial"/>
          <w:b/>
          <w:sz w:val="20"/>
          <w:szCs w:val="20"/>
        </w:rPr>
        <w:t xml:space="preserve">(3) </w:t>
      </w:r>
      <w:r w:rsidR="00444572">
        <w:rPr>
          <w:rFonts w:ascii="Arial" w:hAnsi="Arial" w:cs="Arial"/>
          <w:b/>
          <w:sz w:val="20"/>
          <w:szCs w:val="20"/>
        </w:rPr>
        <w:t>tři roky před zahájením zadávacího řízení:</w:t>
      </w:r>
    </w:p>
    <w:p w14:paraId="3B551BEC" w14:textId="77777777" w:rsidR="00C22600" w:rsidRDefault="00C22600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132DEB2C" w14:textId="660A7C72" w:rsidR="000724C2" w:rsidRPr="00723145" w:rsidRDefault="0044457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32D9BC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údaje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objednatele</w:t>
            </w:r>
          </w:p>
          <w:p w14:paraId="63A3AD61" w14:textId="664ACB06" w:rsidR="00444572" w:rsidRPr="00444572" w:rsidRDefault="0044457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FF4A4" w14:textId="6C71DCFE" w:rsidR="000724C2" w:rsidRPr="00723145" w:rsidRDefault="000724C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4BD40" w14:textId="77777777" w:rsidR="0044001A" w:rsidRDefault="00444572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12A99A77" w14:textId="1E14BE78" w:rsidR="00444572" w:rsidRPr="00444572" w:rsidRDefault="0044457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3F56BBD6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2C9296" w14:textId="671D619E" w:rsidR="00F1732D" w:rsidRPr="00723145" w:rsidRDefault="00444572" w:rsidP="00F1732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Významná dodávka </w:t>
      </w:r>
      <w:r w:rsidR="00F1732D">
        <w:rPr>
          <w:rFonts w:ascii="Arial" w:hAnsi="Arial" w:cs="Arial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44572" w:rsidRPr="00723145" w14:paraId="2BCDC2D0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2C8D03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údaje objednatele</w:t>
            </w:r>
          </w:p>
          <w:p w14:paraId="770037D1" w14:textId="222A8029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706" w14:textId="757C9128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36007F28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5196F" w14:textId="274DA0AB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FCA" w14:textId="347A1A7C" w:rsidR="00444572" w:rsidRPr="001D71F0" w:rsidRDefault="00444572" w:rsidP="0044457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15B3F58C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37880A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Termín realizace</w:t>
            </w:r>
          </w:p>
          <w:p w14:paraId="40E56BCC" w14:textId="4D6ACC3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FD2" w14:textId="3F18F03E" w:rsidR="00444572" w:rsidRPr="00723145" w:rsidRDefault="00444572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444572" w:rsidRPr="00723145" w14:paraId="7EE4F311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DFAF90" w14:textId="3FCC3F4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E787" w14:textId="28E69327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05E060C" w14:textId="77777777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321AB82" w14:textId="034F09DC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Pr="00C50EAC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střetu zájmů</w:t>
      </w:r>
    </w:p>
    <w:p w14:paraId="12767771" w14:textId="5670DED6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="00444572">
        <w:rPr>
          <w:rStyle w:val="Znakapoznpodarou"/>
          <w:rFonts w:ascii="Arial" w:hAnsi="Arial" w:cs="Arial"/>
          <w:b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6915D05D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</w:t>
      </w:r>
      <w:r w:rsidR="00237A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</w:t>
      </w:r>
      <w:r w:rsidR="00237A07">
        <w:rPr>
          <w:rFonts w:ascii="Arial" w:hAnsi="Arial" w:cs="Arial"/>
          <w:sz w:val="20"/>
          <w:szCs w:val="20"/>
        </w:rPr>
        <w:t>olečníka v obchodní společnosti.</w:t>
      </w:r>
    </w:p>
    <w:p w14:paraId="749C8BC8" w14:textId="77777777" w:rsidR="00EC7CFD" w:rsidRDefault="00EC7CFD" w:rsidP="00237A0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F380852" w14:textId="46839FA6" w:rsidR="0036342E" w:rsidRPr="0036342E" w:rsidRDefault="00C22600" w:rsidP="0036342E">
      <w:pPr>
        <w:tabs>
          <w:tab w:val="left" w:pos="0"/>
          <w:tab w:val="left" w:pos="360"/>
        </w:tabs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="00237A07" w:rsidRPr="00237A07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důvodu aplikace zákazu zadání či plnění veřejné zakázky v souladu s Nařízením Rady (EU) 2022/576 ze dne 8. dubna 2022</w:t>
      </w:r>
    </w:p>
    <w:p w14:paraId="7F677B25" w14:textId="48D0F00E" w:rsidR="0036342E" w:rsidRPr="00C22600" w:rsidRDefault="00444572" w:rsidP="00C2260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2600">
        <w:rPr>
          <w:rFonts w:ascii="Arial" w:eastAsia="Arial" w:hAnsi="Arial" w:cs="Arial"/>
          <w:bCs/>
          <w:sz w:val="20"/>
          <w:szCs w:val="20"/>
        </w:rPr>
        <w:t xml:space="preserve">Dodavatel prohlašuje, že </w:t>
      </w:r>
      <w:r w:rsidR="00C22600" w:rsidRPr="00C22600">
        <w:rPr>
          <w:rFonts w:ascii="Arial" w:eastAsia="Arial" w:hAnsi="Arial" w:cs="Arial"/>
          <w:bCs/>
          <w:sz w:val="20"/>
          <w:szCs w:val="20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68A780D7" w14:textId="3C463151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BDED07B" w14:textId="77777777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64F1630" w14:textId="35D298C3" w:rsidR="00EC7CFD" w:rsidRPr="00EC7CFD" w:rsidRDefault="00C22600" w:rsidP="0036342E">
      <w:pPr>
        <w:widowControl w:val="0"/>
        <w:spacing w:after="0" w:line="240" w:lineRule="exact"/>
        <w:ind w:right="-2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</w:t>
      </w:r>
      <w:r w:rsidR="00EC7CFD" w:rsidRPr="00EC7CFD">
        <w:rPr>
          <w:rFonts w:ascii="Arial" w:hAnsi="Arial" w:cs="Arial"/>
          <w:b/>
          <w:bCs/>
          <w:sz w:val="24"/>
          <w:szCs w:val="32"/>
        </w:rPr>
        <w:t>rohlášení k odpovědnému plnění veřejné zakázky</w:t>
      </w:r>
    </w:p>
    <w:p w14:paraId="20FAE50E" w14:textId="77777777" w:rsidR="00EC7CFD" w:rsidRPr="00EC7CFD" w:rsidRDefault="00EC7CFD" w:rsidP="00EC7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FD">
        <w:rPr>
          <w:rFonts w:ascii="Arial" w:hAnsi="Arial" w:cs="Arial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6766151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56802E6D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0E81E8D0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28CD258B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6125FEE4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9B04FEA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4BF68ABD" w14:textId="3AEB77A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5C54CCAE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56EFF868" w14:textId="1683C2B2" w:rsidR="00C22600" w:rsidRPr="00C22600" w:rsidRDefault="00C22600" w:rsidP="00C22600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sz w:val="20"/>
          <w:szCs w:val="20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akceptaci obchodních podmínek</w:t>
      </w:r>
    </w:p>
    <w:p w14:paraId="0260EDAF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0D748B4A" w14:textId="6804EE72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prohlašuje, že se seznámil s návrhem smlouvy, který je přílohou č. 2 zadávacích podmínek a že s takto navrženými obchodními podmínkami bez výhrad souhlasí a bere na vědomí, že smlouva na plnění této veřejné zakázky bude uzavírána ve znění této přílohy, a zavazuje se, že v případě, že bude vybraným dodavatelem, smlouvu ve znění přílohy č. 2 uzavře na výzvu zadavatele bez zbytečného odkladu.</w:t>
      </w:r>
    </w:p>
    <w:p w14:paraId="203C70F2" w14:textId="3E304A33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</w:p>
    <w:p w14:paraId="627C5415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CFD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1BEB676E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2942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EC7CFD" w:rsidRPr="00EC7CFD" w14:paraId="6C1286F3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B9BB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A29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EC7CFD" w:rsidRPr="00EC7CFD" w14:paraId="63D17FF8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013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17B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772749B2" w14:textId="77777777" w:rsidR="00EC7CFD" w:rsidRPr="00EC7CFD" w:rsidRDefault="00EC7CFD" w:rsidP="00EC7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62417EF1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3347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EC7CFD" w:rsidRPr="00EC7CFD" w14:paraId="52966942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FD419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D0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F24EB61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0FBF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22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19B39D35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6F58E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2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6F0F23AC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2B53A" w14:textId="77777777" w:rsidR="00EC7CFD" w:rsidRPr="00EC7CFD" w:rsidRDefault="00EC7CFD" w:rsidP="00217255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EC7CFD" w:rsidRPr="00EC7CFD" w14:paraId="32050C9B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860C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43DEABA9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1622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7CFD" w:rsidRPr="00EC7CFD" w14:paraId="6625866C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C4F28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E32A1A0" w14:textId="77777777" w:rsidTr="00EC7CF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6C14D" w14:textId="3145D183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EC7CFD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EC7CFD" w:rsidRPr="00EC7CFD" w14:paraId="0C3E6C4D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8496" w14:textId="54A9C918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8A2D5B8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C7CFD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02B6DA7A" w14:textId="77777777" w:rsidR="00EC7CFD" w:rsidRPr="00EC7CFD" w:rsidRDefault="00EC7CFD" w:rsidP="00EC7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6FC6578D" w14:textId="38DDFB38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malému či střednímu podniku</w:t>
      </w:r>
    </w:p>
    <w:p w14:paraId="36FB68C3" w14:textId="02AC19A7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</w:p>
    <w:p w14:paraId="1F60D6CA" w14:textId="519FF451" w:rsidR="000A1C5A" w:rsidRPr="000A1C5A" w:rsidRDefault="000A1C5A" w:rsidP="000A1C5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prohlašuje, že </w:t>
      </w:r>
      <w:r>
        <w:rPr>
          <w:rFonts w:ascii="Arial" w:hAnsi="Arial" w:cs="Arial"/>
          <w:sz w:val="20"/>
          <w:szCs w:val="20"/>
          <w:highlight w:val="yellow"/>
        </w:rPr>
        <w:t>[je/není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malým či středním podnikem ve smyslu Doporučení Komise ze dne 6. května 2023 týkající se definice </w:t>
      </w:r>
      <w:proofErr w:type="spellStart"/>
      <w:r>
        <w:rPr>
          <w:rFonts w:ascii="Arial" w:hAnsi="Arial" w:cs="Arial"/>
          <w:sz w:val="20"/>
          <w:szCs w:val="20"/>
        </w:rPr>
        <w:t>mikropodniků</w:t>
      </w:r>
      <w:proofErr w:type="spellEnd"/>
      <w:r>
        <w:rPr>
          <w:rFonts w:ascii="Arial" w:hAnsi="Arial" w:cs="Arial"/>
          <w:sz w:val="20"/>
          <w:szCs w:val="20"/>
        </w:rPr>
        <w:t>, malých a středních podniků (oznámeno pod číslem dokumentu C(2003) 1422) (</w:t>
      </w:r>
      <w:proofErr w:type="spellStart"/>
      <w:r>
        <w:rPr>
          <w:rFonts w:ascii="Arial" w:hAnsi="Arial" w:cs="Arial"/>
          <w:sz w:val="20"/>
          <w:szCs w:val="20"/>
        </w:rPr>
        <w:t>Úř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věst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L 124, </w:t>
      </w:r>
      <w:proofErr w:type="gramStart"/>
      <w:r>
        <w:rPr>
          <w:rFonts w:ascii="Arial" w:hAnsi="Arial" w:cs="Arial"/>
          <w:sz w:val="20"/>
          <w:szCs w:val="20"/>
        </w:rPr>
        <w:t>20.5.2003</w:t>
      </w:r>
      <w:proofErr w:type="gramEnd"/>
      <w:r>
        <w:rPr>
          <w:rFonts w:ascii="Arial" w:hAnsi="Arial" w:cs="Arial"/>
          <w:sz w:val="20"/>
          <w:szCs w:val="20"/>
        </w:rPr>
        <w:t>, s. 36-41).</w:t>
      </w:r>
    </w:p>
    <w:p w14:paraId="74667A92" w14:textId="77777777" w:rsidR="000A1C5A" w:rsidRDefault="000A1C5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0D4F2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3B4FE657" w14:textId="77777777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3DB235" w14:textId="0BD66791" w:rsidR="00C50EAC" w:rsidRDefault="003F5060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C50EAC">
        <w:rPr>
          <w:rFonts w:ascii="Arial" w:hAnsi="Arial" w:cs="Arial"/>
          <w:sz w:val="20"/>
          <w:szCs w:val="20"/>
        </w:rPr>
        <w:t>………………………</w:t>
      </w:r>
    </w:p>
    <w:p w14:paraId="3C1CFDC5" w14:textId="41CB8B8B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4"/>
      </w:r>
    </w:p>
    <w:sectPr w:rsidR="000A1C5A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056F" w14:textId="77777777" w:rsidR="00CC233D" w:rsidRDefault="00CC233D" w:rsidP="002002D1">
      <w:pPr>
        <w:spacing w:after="0" w:line="240" w:lineRule="auto"/>
      </w:pPr>
      <w:r>
        <w:separator/>
      </w:r>
    </w:p>
  </w:endnote>
  <w:endnote w:type="continuationSeparator" w:id="0">
    <w:p w14:paraId="239A34EA" w14:textId="77777777" w:rsidR="00CC233D" w:rsidRDefault="00CC233D" w:rsidP="002002D1">
      <w:pPr>
        <w:spacing w:after="0" w:line="240" w:lineRule="auto"/>
      </w:pPr>
      <w:r>
        <w:continuationSeparator/>
      </w:r>
    </w:p>
  </w:endnote>
  <w:endnote w:type="continuationNotice" w:id="1">
    <w:p w14:paraId="2CC5FAAD" w14:textId="77777777" w:rsidR="00CC233D" w:rsidRDefault="00CC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CFBD159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1B0B67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1ACF" w14:textId="77777777" w:rsidR="00CC233D" w:rsidRDefault="00CC233D" w:rsidP="002002D1">
      <w:pPr>
        <w:spacing w:after="0" w:line="240" w:lineRule="auto"/>
      </w:pPr>
      <w:r>
        <w:separator/>
      </w:r>
    </w:p>
  </w:footnote>
  <w:footnote w:type="continuationSeparator" w:id="0">
    <w:p w14:paraId="79568117" w14:textId="77777777" w:rsidR="00CC233D" w:rsidRDefault="00CC233D" w:rsidP="002002D1">
      <w:pPr>
        <w:spacing w:after="0" w:line="240" w:lineRule="auto"/>
      </w:pPr>
      <w:r>
        <w:continuationSeparator/>
      </w:r>
    </w:p>
  </w:footnote>
  <w:footnote w:type="continuationNotice" w:id="1">
    <w:p w14:paraId="41865A40" w14:textId="77777777" w:rsidR="00CC233D" w:rsidRDefault="00CC233D">
      <w:pPr>
        <w:spacing w:after="0" w:line="240" w:lineRule="auto"/>
      </w:pPr>
    </w:p>
  </w:footnote>
  <w:footnote w:id="2">
    <w:p w14:paraId="070AAE77" w14:textId="7DDB9442" w:rsidR="00444572" w:rsidRDefault="00444572" w:rsidP="0044457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0624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E834F40" w14:textId="69B24C1C" w:rsidR="00EC7CFD" w:rsidRPr="004B4638" w:rsidRDefault="00EC7CFD" w:rsidP="0036342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4B4638">
        <w:rPr>
          <w:rStyle w:val="Znakapoznpodarou"/>
          <w:rFonts w:ascii="Times New Roman" w:hAnsi="Times New Roman" w:cs="Times New Roman"/>
        </w:rPr>
        <w:footnoteRef/>
      </w:r>
      <w:r w:rsidRPr="004B4638">
        <w:rPr>
          <w:rFonts w:ascii="Times New Roman" w:hAnsi="Times New Roman" w:cs="Times New Roman"/>
        </w:rPr>
        <w:t xml:space="preserve"> </w:t>
      </w:r>
      <w:r w:rsidRPr="0036342E">
        <w:rPr>
          <w:rFonts w:ascii="Arial" w:hAnsi="Arial" w:cs="Arial"/>
          <w:sz w:val="16"/>
          <w:szCs w:val="16"/>
        </w:rPr>
        <w:t xml:space="preserve">Ve vazbě na </w:t>
      </w:r>
      <w:hyperlink r:id="rId1" w:history="1">
        <w:r w:rsidRPr="0036342E"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 w:rsidRPr="0036342E"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 </w:t>
      </w:r>
    </w:p>
  </w:footnote>
  <w:footnote w:id="4">
    <w:p w14:paraId="38B51E46" w14:textId="3EA44A71" w:rsidR="000A1C5A" w:rsidRPr="000A1C5A" w:rsidRDefault="000A1C5A" w:rsidP="000A1C5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A1C5A">
        <w:rPr>
          <w:rStyle w:val="Znakapoznpodarou"/>
          <w:rFonts w:ascii="Arial" w:hAnsi="Arial" w:cs="Arial"/>
          <w:sz w:val="16"/>
          <w:szCs w:val="16"/>
        </w:rPr>
        <w:footnoteRef/>
      </w:r>
      <w:r w:rsidRPr="000A1C5A">
        <w:rPr>
          <w:rFonts w:ascii="Arial" w:hAnsi="Arial" w:cs="Arial"/>
          <w:sz w:val="16"/>
          <w:szCs w:val="16"/>
        </w:rPr>
        <w:t xml:space="preserve"> Prohlášení podepíše osoba oprávněná jednat jménem/za dodavatele. Pokud oprávnění takové osoby nevyplývá z veřejného rejstříku (např. obchodní rejstřík), je nutné přiložit plnou moc podepsanou osobou oprávněnou jednat.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4F12F9CB" w:rsidR="00535601" w:rsidRPr="00237A07" w:rsidRDefault="00A04EE3" w:rsidP="00237A07">
    <w:pPr>
      <w:pStyle w:val="Zhlav"/>
      <w:jc w:val="right"/>
      <w:rPr>
        <w:rFonts w:ascii="Arial" w:hAnsi="Arial" w:cs="Arial"/>
        <w:bCs/>
        <w:sz w:val="24"/>
        <w:szCs w:val="20"/>
      </w:rPr>
    </w:pPr>
    <w:r w:rsidRPr="00237A07">
      <w:rPr>
        <w:rFonts w:ascii="Arial" w:hAnsi="Arial" w:cs="Arial"/>
        <w:bCs/>
        <w:sz w:val="20"/>
      </w:rPr>
      <w:t xml:space="preserve">Příloha č. </w:t>
    </w:r>
    <w:r w:rsidR="00F15DC2" w:rsidRPr="00237A07">
      <w:rPr>
        <w:rFonts w:ascii="Arial" w:hAnsi="Arial" w:cs="Arial"/>
        <w:bCs/>
        <w:sz w:val="20"/>
      </w:rPr>
      <w:t>1</w:t>
    </w:r>
    <w:r w:rsidR="00DE61A8" w:rsidRPr="00237A07">
      <w:rPr>
        <w:rFonts w:ascii="Arial" w:hAnsi="Arial" w:cs="Arial"/>
        <w:bCs/>
        <w:sz w:val="20"/>
      </w:rPr>
      <w:t xml:space="preserve"> </w:t>
    </w:r>
    <w:r w:rsidR="0028460E" w:rsidRPr="00237A07">
      <w:rPr>
        <w:rFonts w:ascii="Arial" w:hAnsi="Arial" w:cs="Arial"/>
        <w:bCs/>
        <w:sz w:val="20"/>
      </w:rPr>
      <w:t>ZD</w:t>
    </w:r>
    <w:r w:rsidR="00825AF9">
      <w:rPr>
        <w:rFonts w:ascii="Arial" w:hAnsi="Arial" w:cs="Arial"/>
        <w:bCs/>
        <w:sz w:val="20"/>
      </w:rPr>
      <w:t xml:space="preserve"> – část </w:t>
    </w:r>
    <w:r w:rsidR="00343CDC">
      <w:rPr>
        <w:rFonts w:ascii="Arial" w:hAnsi="Arial" w:cs="Arial"/>
        <w:bCs/>
        <w:sz w:val="20"/>
      </w:rPr>
      <w:t>3</w:t>
    </w:r>
    <w:r w:rsidR="00D33042">
      <w:rPr>
        <w:rFonts w:ascii="Arial" w:hAnsi="Arial" w:cs="Arial"/>
        <w:b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C2A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DE"/>
    <w:multiLevelType w:val="hybridMultilevel"/>
    <w:tmpl w:val="71A8A9D2"/>
    <w:lvl w:ilvl="0" w:tplc="67826B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6975977"/>
    <w:multiLevelType w:val="hybridMultilevel"/>
    <w:tmpl w:val="0A70D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D7CCA"/>
    <w:multiLevelType w:val="hybridMultilevel"/>
    <w:tmpl w:val="9D52C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04C6A"/>
    <w:multiLevelType w:val="hybridMultilevel"/>
    <w:tmpl w:val="7C30A1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3"/>
  </w:num>
  <w:num w:numId="5">
    <w:abstractNumId w:val="24"/>
  </w:num>
  <w:num w:numId="6">
    <w:abstractNumId w:val="23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22"/>
  </w:num>
  <w:num w:numId="13">
    <w:abstractNumId w:val="21"/>
  </w:num>
  <w:num w:numId="14">
    <w:abstractNumId w:val="1"/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14"/>
  </w:num>
  <w:num w:numId="23">
    <w:abstractNumId w:val="9"/>
  </w:num>
  <w:num w:numId="24">
    <w:abstractNumId w:val="25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05D7D"/>
    <w:rsid w:val="00013E10"/>
    <w:rsid w:val="00025F66"/>
    <w:rsid w:val="000724C2"/>
    <w:rsid w:val="00081846"/>
    <w:rsid w:val="000A1C5A"/>
    <w:rsid w:val="000A4DF6"/>
    <w:rsid w:val="000D31B4"/>
    <w:rsid w:val="00106D2E"/>
    <w:rsid w:val="001579B1"/>
    <w:rsid w:val="001707B7"/>
    <w:rsid w:val="00175250"/>
    <w:rsid w:val="001923B4"/>
    <w:rsid w:val="001A0B02"/>
    <w:rsid w:val="001B0B67"/>
    <w:rsid w:val="001B0C12"/>
    <w:rsid w:val="001B595C"/>
    <w:rsid w:val="001C572D"/>
    <w:rsid w:val="001D5358"/>
    <w:rsid w:val="001D75A6"/>
    <w:rsid w:val="001E554C"/>
    <w:rsid w:val="001F24EE"/>
    <w:rsid w:val="002002D1"/>
    <w:rsid w:val="00207337"/>
    <w:rsid w:val="00215AA4"/>
    <w:rsid w:val="00237A07"/>
    <w:rsid w:val="0024041D"/>
    <w:rsid w:val="00250033"/>
    <w:rsid w:val="00262118"/>
    <w:rsid w:val="00264C3F"/>
    <w:rsid w:val="0026547C"/>
    <w:rsid w:val="00270491"/>
    <w:rsid w:val="00280472"/>
    <w:rsid w:val="00280AE0"/>
    <w:rsid w:val="0028460E"/>
    <w:rsid w:val="00286B16"/>
    <w:rsid w:val="00290A80"/>
    <w:rsid w:val="002951F5"/>
    <w:rsid w:val="002B2D32"/>
    <w:rsid w:val="002C4D05"/>
    <w:rsid w:val="002D411B"/>
    <w:rsid w:val="002F28C1"/>
    <w:rsid w:val="002F4CF3"/>
    <w:rsid w:val="0030304D"/>
    <w:rsid w:val="00304593"/>
    <w:rsid w:val="00311C50"/>
    <w:rsid w:val="003352C9"/>
    <w:rsid w:val="00343CDC"/>
    <w:rsid w:val="0036342E"/>
    <w:rsid w:val="00375ED8"/>
    <w:rsid w:val="00380026"/>
    <w:rsid w:val="0038267D"/>
    <w:rsid w:val="003B6A5F"/>
    <w:rsid w:val="003D7AA2"/>
    <w:rsid w:val="003E7228"/>
    <w:rsid w:val="003F42D8"/>
    <w:rsid w:val="003F5060"/>
    <w:rsid w:val="00405C94"/>
    <w:rsid w:val="00420897"/>
    <w:rsid w:val="0042601D"/>
    <w:rsid w:val="00431805"/>
    <w:rsid w:val="004357AD"/>
    <w:rsid w:val="0044001A"/>
    <w:rsid w:val="00440812"/>
    <w:rsid w:val="004413C3"/>
    <w:rsid w:val="00444572"/>
    <w:rsid w:val="0046756A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1F02"/>
    <w:rsid w:val="005D3498"/>
    <w:rsid w:val="005D6247"/>
    <w:rsid w:val="005E2A1D"/>
    <w:rsid w:val="00612869"/>
    <w:rsid w:val="00636E68"/>
    <w:rsid w:val="00640F13"/>
    <w:rsid w:val="00647F39"/>
    <w:rsid w:val="0066739E"/>
    <w:rsid w:val="006F0F2C"/>
    <w:rsid w:val="006F5A81"/>
    <w:rsid w:val="006F7A5C"/>
    <w:rsid w:val="007034BF"/>
    <w:rsid w:val="00712203"/>
    <w:rsid w:val="00712555"/>
    <w:rsid w:val="007132F6"/>
    <w:rsid w:val="00724406"/>
    <w:rsid w:val="007275B7"/>
    <w:rsid w:val="00743A79"/>
    <w:rsid w:val="00765961"/>
    <w:rsid w:val="00772608"/>
    <w:rsid w:val="00784B91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25AF9"/>
    <w:rsid w:val="008409B9"/>
    <w:rsid w:val="0084408E"/>
    <w:rsid w:val="00865408"/>
    <w:rsid w:val="00866080"/>
    <w:rsid w:val="008A7162"/>
    <w:rsid w:val="008B05D1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E4B07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05EEA"/>
    <w:rsid w:val="00C20C16"/>
    <w:rsid w:val="00C22600"/>
    <w:rsid w:val="00C258C8"/>
    <w:rsid w:val="00C452D3"/>
    <w:rsid w:val="00C50EAC"/>
    <w:rsid w:val="00C53A54"/>
    <w:rsid w:val="00C5658A"/>
    <w:rsid w:val="00C65C2D"/>
    <w:rsid w:val="00C66DA3"/>
    <w:rsid w:val="00C77EBE"/>
    <w:rsid w:val="00C873B6"/>
    <w:rsid w:val="00CB5F85"/>
    <w:rsid w:val="00CB6A93"/>
    <w:rsid w:val="00CC233D"/>
    <w:rsid w:val="00CC29FD"/>
    <w:rsid w:val="00CC2EA5"/>
    <w:rsid w:val="00CD5C93"/>
    <w:rsid w:val="00D14ECC"/>
    <w:rsid w:val="00D33042"/>
    <w:rsid w:val="00D445C9"/>
    <w:rsid w:val="00D55238"/>
    <w:rsid w:val="00D6292C"/>
    <w:rsid w:val="00D66BAF"/>
    <w:rsid w:val="00D71F57"/>
    <w:rsid w:val="00D759FB"/>
    <w:rsid w:val="00D822AB"/>
    <w:rsid w:val="00DC6DA8"/>
    <w:rsid w:val="00DD2A32"/>
    <w:rsid w:val="00DD6EC7"/>
    <w:rsid w:val="00DE5DED"/>
    <w:rsid w:val="00DE61A8"/>
    <w:rsid w:val="00DF1278"/>
    <w:rsid w:val="00DF7A87"/>
    <w:rsid w:val="00E1066F"/>
    <w:rsid w:val="00E56072"/>
    <w:rsid w:val="00E76680"/>
    <w:rsid w:val="00E83568"/>
    <w:rsid w:val="00EB27FA"/>
    <w:rsid w:val="00EB2BDF"/>
    <w:rsid w:val="00EB56D2"/>
    <w:rsid w:val="00EB61B6"/>
    <w:rsid w:val="00EC3C91"/>
    <w:rsid w:val="00EC77F4"/>
    <w:rsid w:val="00EC7B20"/>
    <w:rsid w:val="00EC7CFD"/>
    <w:rsid w:val="00ED1005"/>
    <w:rsid w:val="00ED76F2"/>
    <w:rsid w:val="00EF71BA"/>
    <w:rsid w:val="00F0477C"/>
    <w:rsid w:val="00F10CE5"/>
    <w:rsid w:val="00F150E9"/>
    <w:rsid w:val="00F15DC2"/>
    <w:rsid w:val="00F1732D"/>
    <w:rsid w:val="00F269F0"/>
    <w:rsid w:val="00F53C13"/>
    <w:rsid w:val="00F55A6B"/>
    <w:rsid w:val="00F60F68"/>
    <w:rsid w:val="00F777E4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E8588D1C-C130-47C4-9227-795B834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005D7D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005D7D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3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66e70fa-7670-43a6-99e2-cc25946fa8e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875DA-363D-4805-B031-719A8522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5</cp:revision>
  <dcterms:created xsi:type="dcterms:W3CDTF">2025-03-26T12:11:00Z</dcterms:created>
  <dcterms:modified xsi:type="dcterms:W3CDTF">2025-04-04T06:19:00Z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