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620747" w14:textId="77777777" w:rsidR="00722F92" w:rsidRPr="00EB2CB3" w:rsidRDefault="00722F92" w:rsidP="00722F92">
      <w:pPr>
        <w:spacing w:before="5640" w:after="0"/>
        <w:contextualSpacing/>
        <w:jc w:val="center"/>
        <w:rPr>
          <w:rFonts w:ascii="Calibri" w:hAnsi="Calibri" w:cs="Calibri"/>
          <w:b/>
          <w:bCs/>
          <w:color w:val="2F5496"/>
          <w:sz w:val="48"/>
          <w:szCs w:val="48"/>
        </w:rPr>
      </w:pPr>
      <w:r w:rsidRPr="00EF6C90">
        <w:rPr>
          <w:noProof/>
        </w:rPr>
        <w:drawing>
          <wp:anchor distT="0" distB="0" distL="114300" distR="114300" simplePos="0" relativeHeight="251661312" behindDoc="1" locked="0" layoutInCell="1" allowOverlap="1" wp14:anchorId="4CD2E6A9" wp14:editId="51E7B5B0">
            <wp:simplePos x="0" y="0"/>
            <wp:positionH relativeFrom="column">
              <wp:posOffset>-320040</wp:posOffset>
            </wp:positionH>
            <wp:positionV relativeFrom="paragraph">
              <wp:posOffset>735330</wp:posOffset>
            </wp:positionV>
            <wp:extent cx="1637030" cy="1055370"/>
            <wp:effectExtent l="0" t="0" r="127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030" cy="105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6C90">
        <w:rPr>
          <w:noProof/>
        </w:rPr>
        <w:drawing>
          <wp:anchor distT="0" distB="0" distL="114300" distR="114300" simplePos="0" relativeHeight="251660288" behindDoc="1" locked="0" layoutInCell="1" allowOverlap="1" wp14:anchorId="4132080A" wp14:editId="376B3F13">
            <wp:simplePos x="0" y="0"/>
            <wp:positionH relativeFrom="column">
              <wp:posOffset>-961390</wp:posOffset>
            </wp:positionH>
            <wp:positionV relativeFrom="paragraph">
              <wp:posOffset>-3152775</wp:posOffset>
            </wp:positionV>
            <wp:extent cx="1637030" cy="1055370"/>
            <wp:effectExtent l="0" t="0" r="1270" b="0"/>
            <wp:wrapNone/>
            <wp:docPr id="87" name="Obrázek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030" cy="105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6C90">
        <w:rPr>
          <w:noProof/>
        </w:rPr>
        <w:drawing>
          <wp:anchor distT="0" distB="0" distL="114300" distR="114300" simplePos="0" relativeHeight="251659264" behindDoc="1" locked="1" layoutInCell="1" allowOverlap="1" wp14:anchorId="285F94C5" wp14:editId="75DB0D60">
            <wp:simplePos x="0" y="0"/>
            <wp:positionH relativeFrom="page">
              <wp:align>right</wp:align>
            </wp:positionH>
            <wp:positionV relativeFrom="page">
              <wp:posOffset>-2074545</wp:posOffset>
            </wp:positionV>
            <wp:extent cx="7613650" cy="7919720"/>
            <wp:effectExtent l="0" t="0" r="6350" b="5080"/>
            <wp:wrapNone/>
            <wp:docPr id="86" name="Obráze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407"/>
                    <a:stretch/>
                  </pic:blipFill>
                  <pic:spPr bwMode="auto">
                    <a:xfrm>
                      <a:off x="0" y="0"/>
                      <a:ext cx="7613650" cy="791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  <w:bCs/>
          <w:color w:val="2F5496"/>
          <w:sz w:val="48"/>
          <w:szCs w:val="48"/>
        </w:rPr>
        <w:t>Technická zpráva</w:t>
      </w:r>
    </w:p>
    <w:p w14:paraId="64BE0DF3" w14:textId="77777777" w:rsidR="00722F92" w:rsidRPr="006F01FA" w:rsidRDefault="00722F92" w:rsidP="00722F92">
      <w:pPr>
        <w:spacing w:after="0"/>
        <w:jc w:val="center"/>
        <w:rPr>
          <w:b/>
          <w:sz w:val="44"/>
          <w:szCs w:val="44"/>
        </w:rPr>
      </w:pPr>
      <w:r>
        <w:rPr>
          <w:rFonts w:ascii="Calibri" w:hAnsi="Calibri" w:cs="Calibri"/>
          <w:b/>
          <w:bCs/>
          <w:sz w:val="44"/>
          <w:szCs w:val="44"/>
        </w:rPr>
        <w:t>Zabezpečení rekonstruovaných prostor 2.NP</w:t>
      </w:r>
      <w:r w:rsidRPr="006F01FA">
        <w:rPr>
          <w:b/>
          <w:sz w:val="26"/>
          <w:szCs w:val="26"/>
        </w:rPr>
        <w:t xml:space="preserve"> </w:t>
      </w:r>
      <w:r w:rsidRPr="006F01FA">
        <w:rPr>
          <w:b/>
          <w:sz w:val="44"/>
          <w:szCs w:val="44"/>
        </w:rPr>
        <w:t>Regionální muzeum a galerie Jičín</w:t>
      </w:r>
    </w:p>
    <w:p w14:paraId="6A2A177D" w14:textId="77777777" w:rsidR="00722F92" w:rsidRPr="00E65F8A" w:rsidRDefault="00722F92" w:rsidP="00722F92">
      <w:pPr>
        <w:spacing w:before="60" w:after="0"/>
        <w:jc w:val="center"/>
        <w:rPr>
          <w:rFonts w:ascii="Calibri" w:hAnsi="Calibri" w:cs="Calibri"/>
          <w:szCs w:val="24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4807"/>
      </w:tblGrid>
      <w:tr w:rsidR="00722F92" w:rsidRPr="00EB2CB3" w14:paraId="515E07F2" w14:textId="77777777" w:rsidTr="00227930">
        <w:trPr>
          <w:trHeight w:hRule="exact" w:val="284"/>
        </w:trPr>
        <w:tc>
          <w:tcPr>
            <w:tcW w:w="4253" w:type="dxa"/>
          </w:tcPr>
          <w:p w14:paraId="6BD40C0C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  <w:r w:rsidRPr="00EB2CB3">
              <w:rPr>
                <w:rFonts w:ascii="Calibri" w:hAnsi="Calibri" w:cs="Calibri"/>
              </w:rPr>
              <w:t>Objekt:</w:t>
            </w:r>
          </w:p>
        </w:tc>
        <w:tc>
          <w:tcPr>
            <w:tcW w:w="4807" w:type="dxa"/>
          </w:tcPr>
          <w:p w14:paraId="40DF08F1" w14:textId="77777777" w:rsidR="00722F92" w:rsidRDefault="00722F92" w:rsidP="00227930">
            <w:pPr>
              <w:spacing w:after="0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Regionální muzeum a galerie Jičín</w:t>
            </w:r>
          </w:p>
          <w:p w14:paraId="4766E4A2" w14:textId="77777777" w:rsidR="00722F92" w:rsidRPr="00EB2CB3" w:rsidRDefault="00722F92" w:rsidP="00227930">
            <w:pPr>
              <w:rPr>
                <w:rFonts w:ascii="Calibri" w:hAnsi="Calibri" w:cs="Calibri"/>
                <w:b/>
                <w:bCs/>
              </w:rPr>
            </w:pPr>
          </w:p>
        </w:tc>
      </w:tr>
      <w:tr w:rsidR="00722F92" w:rsidRPr="00EB2CB3" w14:paraId="2100A3D3" w14:textId="77777777" w:rsidTr="00227930">
        <w:trPr>
          <w:trHeight w:hRule="exact" w:val="284"/>
        </w:trPr>
        <w:tc>
          <w:tcPr>
            <w:tcW w:w="4253" w:type="dxa"/>
          </w:tcPr>
          <w:p w14:paraId="1F63BABD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  <w:r w:rsidRPr="00EB2CB3">
              <w:rPr>
                <w:rFonts w:ascii="Calibri" w:hAnsi="Calibri" w:cs="Calibri"/>
              </w:rPr>
              <w:t xml:space="preserve">Adresa: </w:t>
            </w:r>
          </w:p>
        </w:tc>
        <w:tc>
          <w:tcPr>
            <w:tcW w:w="4807" w:type="dxa"/>
          </w:tcPr>
          <w:p w14:paraId="4FFFA6BF" w14:textId="77777777" w:rsidR="00722F92" w:rsidRDefault="00722F92" w:rsidP="00227930">
            <w:pPr>
              <w:spacing w:after="0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Valdštejnovo</w:t>
            </w:r>
            <w:proofErr w:type="spellEnd"/>
            <w:r>
              <w:rPr>
                <w:sz w:val="26"/>
                <w:szCs w:val="26"/>
              </w:rPr>
              <w:t xml:space="preserve"> náměstí 1, 506 01, Jičín</w:t>
            </w:r>
          </w:p>
          <w:p w14:paraId="1DACCF2C" w14:textId="77777777" w:rsidR="00722F92" w:rsidRDefault="00722F92" w:rsidP="00227930">
            <w:pPr>
              <w:rPr>
                <w:rFonts w:ascii="Calibri" w:hAnsi="Calibri" w:cs="Calibri"/>
              </w:rPr>
            </w:pPr>
            <w:r>
              <w:rPr>
                <w:sz w:val="26"/>
                <w:szCs w:val="26"/>
              </w:rPr>
              <w:t>506 01 Jičín</w:t>
            </w:r>
          </w:p>
          <w:p w14:paraId="0994800A" w14:textId="77777777" w:rsidR="00722F92" w:rsidRPr="00EB2CB3" w:rsidRDefault="00722F92" w:rsidP="00227930">
            <w:pPr>
              <w:rPr>
                <w:rFonts w:ascii="Calibri" w:hAnsi="Calibri" w:cs="Calibri"/>
              </w:rPr>
            </w:pPr>
          </w:p>
        </w:tc>
      </w:tr>
      <w:tr w:rsidR="00722F92" w:rsidRPr="00EB2CB3" w14:paraId="5662B1C8" w14:textId="77777777" w:rsidTr="00227930">
        <w:trPr>
          <w:trHeight w:hRule="exact" w:val="284"/>
        </w:trPr>
        <w:tc>
          <w:tcPr>
            <w:tcW w:w="4253" w:type="dxa"/>
          </w:tcPr>
          <w:p w14:paraId="3099A53A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1164782B" w14:textId="77777777" w:rsidR="00722F92" w:rsidRPr="00EB2CB3" w:rsidRDefault="00722F92" w:rsidP="00227930">
            <w:pPr>
              <w:rPr>
                <w:rFonts w:ascii="Calibri" w:hAnsi="Calibri" w:cs="Calibri"/>
              </w:rPr>
            </w:pPr>
          </w:p>
        </w:tc>
      </w:tr>
      <w:tr w:rsidR="00722F92" w:rsidRPr="00EB2CB3" w14:paraId="3F6E2679" w14:textId="77777777" w:rsidTr="00227930">
        <w:trPr>
          <w:trHeight w:hRule="exact" w:val="284"/>
        </w:trPr>
        <w:tc>
          <w:tcPr>
            <w:tcW w:w="4253" w:type="dxa"/>
          </w:tcPr>
          <w:p w14:paraId="234B2D49" w14:textId="77777777" w:rsidR="00722F92" w:rsidRPr="00EB2CB3" w:rsidRDefault="00722F92" w:rsidP="00722F92">
            <w:pPr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16150504" w14:textId="77777777" w:rsidR="00722F92" w:rsidRPr="00EB2CB3" w:rsidRDefault="00722F92" w:rsidP="00227930">
            <w:pPr>
              <w:rPr>
                <w:rFonts w:ascii="Calibri" w:hAnsi="Calibri" w:cs="Calibri"/>
              </w:rPr>
            </w:pPr>
          </w:p>
        </w:tc>
      </w:tr>
      <w:tr w:rsidR="00722F92" w:rsidRPr="00EB2CB3" w14:paraId="2FA847F1" w14:textId="77777777" w:rsidTr="00227930">
        <w:trPr>
          <w:trHeight w:hRule="exact" w:val="284"/>
        </w:trPr>
        <w:tc>
          <w:tcPr>
            <w:tcW w:w="4253" w:type="dxa"/>
          </w:tcPr>
          <w:p w14:paraId="7FC6B663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  <w:r w:rsidRPr="00EB2CB3">
              <w:rPr>
                <w:rFonts w:ascii="Calibri" w:hAnsi="Calibri" w:cs="Calibri"/>
              </w:rPr>
              <w:t>Investor:</w:t>
            </w:r>
          </w:p>
        </w:tc>
        <w:tc>
          <w:tcPr>
            <w:tcW w:w="4807" w:type="dxa"/>
          </w:tcPr>
          <w:p w14:paraId="054FEA48" w14:textId="77777777" w:rsidR="00722F92" w:rsidRDefault="00722F92" w:rsidP="00227930">
            <w:pPr>
              <w:spacing w:after="0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Regionální muzeum a galerie Jičín</w:t>
            </w:r>
          </w:p>
          <w:p w14:paraId="65DB7870" w14:textId="77777777" w:rsidR="00722F92" w:rsidRPr="00EB2CB3" w:rsidRDefault="00722F92" w:rsidP="00227930">
            <w:pPr>
              <w:rPr>
                <w:rFonts w:ascii="Calibri" w:hAnsi="Calibri" w:cs="Calibri"/>
                <w:b/>
                <w:bCs/>
              </w:rPr>
            </w:pPr>
          </w:p>
        </w:tc>
      </w:tr>
      <w:tr w:rsidR="00722F92" w:rsidRPr="00EB2CB3" w14:paraId="170EFEF7" w14:textId="77777777" w:rsidTr="00227930">
        <w:trPr>
          <w:trHeight w:hRule="exact" w:val="284"/>
        </w:trPr>
        <w:tc>
          <w:tcPr>
            <w:tcW w:w="4253" w:type="dxa"/>
          </w:tcPr>
          <w:p w14:paraId="65DCA790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  <w:r w:rsidRPr="00EB2CB3">
              <w:rPr>
                <w:rFonts w:ascii="Calibri" w:hAnsi="Calibri" w:cs="Calibri"/>
              </w:rPr>
              <w:t>Adresa:</w:t>
            </w:r>
          </w:p>
        </w:tc>
        <w:tc>
          <w:tcPr>
            <w:tcW w:w="4807" w:type="dxa"/>
          </w:tcPr>
          <w:p w14:paraId="5D15364C" w14:textId="77777777" w:rsidR="00722F92" w:rsidRDefault="00722F92" w:rsidP="00227930">
            <w:pPr>
              <w:spacing w:after="0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Valdštejnovo</w:t>
            </w:r>
            <w:proofErr w:type="spellEnd"/>
            <w:r>
              <w:rPr>
                <w:sz w:val="26"/>
                <w:szCs w:val="26"/>
              </w:rPr>
              <w:t xml:space="preserve"> náměstí 1, 506 01, Jičín</w:t>
            </w:r>
          </w:p>
          <w:p w14:paraId="11D0EC89" w14:textId="77777777" w:rsidR="00722F92" w:rsidRPr="00EB2CB3" w:rsidRDefault="00722F92" w:rsidP="00227930">
            <w:pPr>
              <w:rPr>
                <w:rFonts w:ascii="Calibri" w:hAnsi="Calibri" w:cs="Calibri"/>
              </w:rPr>
            </w:pPr>
          </w:p>
        </w:tc>
      </w:tr>
      <w:tr w:rsidR="00722F92" w:rsidRPr="00EB2CB3" w14:paraId="0B428CB8" w14:textId="77777777" w:rsidTr="00227930">
        <w:trPr>
          <w:trHeight w:hRule="exact" w:val="284"/>
        </w:trPr>
        <w:tc>
          <w:tcPr>
            <w:tcW w:w="4253" w:type="dxa"/>
          </w:tcPr>
          <w:p w14:paraId="3558103D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0E73CB15" w14:textId="77777777" w:rsidR="00722F92" w:rsidRDefault="00722F92" w:rsidP="00227930">
            <w:pPr>
              <w:rPr>
                <w:rFonts w:ascii="Calibri" w:hAnsi="Calibri" w:cs="Calibri"/>
              </w:rPr>
            </w:pPr>
          </w:p>
        </w:tc>
      </w:tr>
      <w:tr w:rsidR="00722F92" w:rsidRPr="00EB2CB3" w14:paraId="4240AD4F" w14:textId="77777777" w:rsidTr="00227930">
        <w:trPr>
          <w:trHeight w:hRule="exact" w:val="284"/>
        </w:trPr>
        <w:tc>
          <w:tcPr>
            <w:tcW w:w="4253" w:type="dxa"/>
          </w:tcPr>
          <w:p w14:paraId="131D2924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60C009B1" w14:textId="77777777" w:rsidR="00722F92" w:rsidRDefault="00722F92" w:rsidP="00227930">
            <w:pPr>
              <w:rPr>
                <w:rFonts w:ascii="Calibri" w:hAnsi="Calibri" w:cs="Calibri"/>
              </w:rPr>
            </w:pPr>
          </w:p>
        </w:tc>
      </w:tr>
      <w:tr w:rsidR="00722F92" w:rsidRPr="00EB2CB3" w14:paraId="569EBB67" w14:textId="77777777" w:rsidTr="00227930">
        <w:trPr>
          <w:trHeight w:hRule="exact" w:val="284"/>
        </w:trPr>
        <w:tc>
          <w:tcPr>
            <w:tcW w:w="4253" w:type="dxa"/>
          </w:tcPr>
          <w:p w14:paraId="464579A7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  <w:r w:rsidRPr="00EB2CB3">
              <w:rPr>
                <w:rFonts w:ascii="Calibri" w:hAnsi="Calibri" w:cs="Calibri"/>
              </w:rPr>
              <w:t>Zhotovitel:</w:t>
            </w:r>
          </w:p>
        </w:tc>
        <w:tc>
          <w:tcPr>
            <w:tcW w:w="4807" w:type="dxa"/>
          </w:tcPr>
          <w:p w14:paraId="7258E038" w14:textId="77777777" w:rsidR="00722F92" w:rsidRPr="00EB2CB3" w:rsidRDefault="00722F92" w:rsidP="00227930">
            <w:pPr>
              <w:rPr>
                <w:rFonts w:ascii="Calibri" w:hAnsi="Calibri" w:cs="Calibri"/>
                <w:b/>
                <w:bCs/>
              </w:rPr>
            </w:pPr>
            <w:proofErr w:type="spellStart"/>
            <w:r w:rsidRPr="00EB2CB3">
              <w:rPr>
                <w:rFonts w:ascii="Calibri" w:hAnsi="Calibri" w:cs="Calibri"/>
                <w:b/>
                <w:bCs/>
              </w:rPr>
              <w:t>Trade</w:t>
            </w:r>
            <w:proofErr w:type="spellEnd"/>
            <w:r w:rsidRPr="00EB2CB3">
              <w:rPr>
                <w:rFonts w:ascii="Calibri" w:hAnsi="Calibri" w:cs="Calibri"/>
                <w:b/>
                <w:bCs/>
              </w:rPr>
              <w:t xml:space="preserve"> FIDES, a.s.</w:t>
            </w:r>
          </w:p>
        </w:tc>
      </w:tr>
      <w:tr w:rsidR="00722F92" w:rsidRPr="00EB2CB3" w14:paraId="7C20A37C" w14:textId="77777777" w:rsidTr="00227930">
        <w:trPr>
          <w:trHeight w:hRule="exact" w:val="284"/>
        </w:trPr>
        <w:tc>
          <w:tcPr>
            <w:tcW w:w="4253" w:type="dxa"/>
          </w:tcPr>
          <w:p w14:paraId="22885063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  <w:r w:rsidRPr="00EB2CB3">
              <w:rPr>
                <w:rFonts w:ascii="Calibri" w:hAnsi="Calibri" w:cs="Calibri"/>
              </w:rPr>
              <w:t>Adresa:</w:t>
            </w:r>
          </w:p>
        </w:tc>
        <w:tc>
          <w:tcPr>
            <w:tcW w:w="4807" w:type="dxa"/>
          </w:tcPr>
          <w:p w14:paraId="6280A401" w14:textId="77777777" w:rsidR="00722F92" w:rsidRPr="00EB2CB3" w:rsidRDefault="00722F92" w:rsidP="0022793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Dornych 57, 617 </w:t>
            </w:r>
            <w:proofErr w:type="gramStart"/>
            <w:r>
              <w:rPr>
                <w:rFonts w:ascii="Calibri" w:hAnsi="Calibri" w:cs="Calibri"/>
              </w:rPr>
              <w:t>00  Brno</w:t>
            </w:r>
            <w:proofErr w:type="gramEnd"/>
          </w:p>
        </w:tc>
      </w:tr>
      <w:tr w:rsidR="00722F92" w:rsidRPr="00EB2CB3" w14:paraId="6E4A69B8" w14:textId="77777777" w:rsidTr="00227930">
        <w:trPr>
          <w:trHeight w:hRule="exact" w:val="284"/>
        </w:trPr>
        <w:tc>
          <w:tcPr>
            <w:tcW w:w="4253" w:type="dxa"/>
          </w:tcPr>
          <w:p w14:paraId="0B2CC62F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4FBBAF8C" w14:textId="77777777" w:rsidR="00722F92" w:rsidRDefault="00722F92" w:rsidP="00227930">
            <w:pPr>
              <w:rPr>
                <w:rFonts w:ascii="Calibri" w:hAnsi="Calibri" w:cs="Calibri"/>
              </w:rPr>
            </w:pPr>
          </w:p>
        </w:tc>
      </w:tr>
      <w:tr w:rsidR="00722F92" w:rsidRPr="00EB2CB3" w14:paraId="543D6F71" w14:textId="77777777" w:rsidTr="00227930">
        <w:trPr>
          <w:trHeight w:hRule="exact" w:val="284"/>
        </w:trPr>
        <w:tc>
          <w:tcPr>
            <w:tcW w:w="4253" w:type="dxa"/>
          </w:tcPr>
          <w:p w14:paraId="37C6AC35" w14:textId="563FBF91" w:rsidR="00722F92" w:rsidRPr="00EB2CB3" w:rsidRDefault="00722F92" w:rsidP="00227930">
            <w:pPr>
              <w:tabs>
                <w:tab w:val="left" w:pos="252"/>
              </w:tabs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5BC94A8A" w14:textId="77777777" w:rsidR="00722F92" w:rsidRDefault="00722F92" w:rsidP="00227930">
            <w:pPr>
              <w:rPr>
                <w:rFonts w:ascii="Calibri" w:hAnsi="Calibri" w:cs="Calibri"/>
              </w:rPr>
            </w:pPr>
          </w:p>
        </w:tc>
      </w:tr>
      <w:tr w:rsidR="00722F92" w:rsidRPr="00EB2CB3" w14:paraId="6B28B443" w14:textId="77777777" w:rsidTr="00227930">
        <w:trPr>
          <w:trHeight w:hRule="exact" w:val="284"/>
        </w:trPr>
        <w:tc>
          <w:tcPr>
            <w:tcW w:w="4253" w:type="dxa"/>
          </w:tcPr>
          <w:p w14:paraId="53E91DB0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  <w:r w:rsidRPr="00EB2CB3">
              <w:rPr>
                <w:rFonts w:ascii="Calibri" w:hAnsi="Calibri" w:cs="Calibri"/>
              </w:rPr>
              <w:t>Vypracoval:</w:t>
            </w:r>
          </w:p>
        </w:tc>
        <w:tc>
          <w:tcPr>
            <w:tcW w:w="4807" w:type="dxa"/>
          </w:tcPr>
          <w:p w14:paraId="3124C866" w14:textId="77777777" w:rsidR="00722F92" w:rsidRPr="00EB2CB3" w:rsidRDefault="00722F92" w:rsidP="00227930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Ing. Maroš Vavro</w:t>
            </w:r>
          </w:p>
        </w:tc>
      </w:tr>
      <w:tr w:rsidR="00722F92" w:rsidRPr="00EB2CB3" w14:paraId="7A2739F6" w14:textId="77777777" w:rsidTr="00227930">
        <w:trPr>
          <w:trHeight w:hRule="exact" w:val="284"/>
        </w:trPr>
        <w:tc>
          <w:tcPr>
            <w:tcW w:w="4253" w:type="dxa"/>
          </w:tcPr>
          <w:p w14:paraId="7BA60537" w14:textId="77777777" w:rsidR="00722F92" w:rsidRPr="00EB2CB3" w:rsidRDefault="00722F92" w:rsidP="00227930">
            <w:pPr>
              <w:jc w:val="right"/>
              <w:rPr>
                <w:rFonts w:ascii="Calibri" w:hAnsi="Calibri" w:cs="Calibri"/>
              </w:rPr>
            </w:pPr>
            <w:r w:rsidRPr="00EB2CB3">
              <w:rPr>
                <w:rFonts w:ascii="Calibri" w:hAnsi="Calibri" w:cs="Calibri"/>
              </w:rPr>
              <w:t>Zodpovědný projektant:</w:t>
            </w:r>
          </w:p>
        </w:tc>
        <w:tc>
          <w:tcPr>
            <w:tcW w:w="4807" w:type="dxa"/>
          </w:tcPr>
          <w:p w14:paraId="2B230944" w14:textId="77777777" w:rsidR="00722F92" w:rsidRPr="00EB2CB3" w:rsidRDefault="00722F92" w:rsidP="00227930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Ing. Pavel Fiala</w:t>
            </w:r>
          </w:p>
        </w:tc>
      </w:tr>
    </w:tbl>
    <w:tbl>
      <w:tblPr>
        <w:tblpPr w:leftFromText="141" w:rightFromText="141" w:vertAnchor="text" w:horzAnchor="margin" w:tblpXSpec="center" w:tblpY="18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410"/>
        <w:gridCol w:w="1966"/>
      </w:tblGrid>
      <w:tr w:rsidR="00722F92" w14:paraId="220A75F0" w14:textId="77777777" w:rsidTr="00722F92">
        <w:trPr>
          <w:trHeight w:hRule="exact" w:val="284"/>
        </w:trPr>
        <w:tc>
          <w:tcPr>
            <w:tcW w:w="5070" w:type="dxa"/>
            <w:gridSpan w:val="2"/>
            <w:shd w:val="clear" w:color="auto" w:fill="auto"/>
          </w:tcPr>
          <w:p w14:paraId="39931AB6" w14:textId="77777777" w:rsidR="00722F92" w:rsidRPr="00D23ABC" w:rsidRDefault="00722F92" w:rsidP="00722F92">
            <w:pPr>
              <w:jc w:val="right"/>
              <w:rPr>
                <w:b/>
                <w:bCs/>
                <w:sz w:val="20"/>
                <w:szCs w:val="20"/>
              </w:rPr>
            </w:pPr>
            <w:r w:rsidRPr="00D23ABC">
              <w:rPr>
                <w:b/>
                <w:bCs/>
                <w:sz w:val="20"/>
                <w:szCs w:val="20"/>
              </w:rPr>
              <w:t>Výtisk číslo:</w:t>
            </w:r>
          </w:p>
        </w:tc>
        <w:tc>
          <w:tcPr>
            <w:tcW w:w="1966" w:type="dxa"/>
            <w:vMerge w:val="restart"/>
            <w:shd w:val="clear" w:color="auto" w:fill="auto"/>
          </w:tcPr>
          <w:p w14:paraId="5B7491CE" w14:textId="54CAB8D7" w:rsidR="00722F92" w:rsidRPr="00722F92" w:rsidRDefault="00722F92" w:rsidP="00722F92">
            <w:pPr>
              <w:pStyle w:val="Nzev"/>
              <w:jc w:val="center"/>
              <w:rPr>
                <w:sz w:val="44"/>
                <w:szCs w:val="96"/>
              </w:rPr>
            </w:pPr>
            <w:r w:rsidRPr="00722F92">
              <w:rPr>
                <w:sz w:val="96"/>
                <w:szCs w:val="220"/>
              </w:rPr>
              <w:t>1</w:t>
            </w:r>
          </w:p>
        </w:tc>
      </w:tr>
      <w:tr w:rsidR="00722F92" w14:paraId="7C307B14" w14:textId="77777777" w:rsidTr="00722F92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065B3376" w14:textId="77777777" w:rsidR="00722F92" w:rsidRPr="00A87D86" w:rsidRDefault="00722F92" w:rsidP="00722F92">
            <w:pPr>
              <w:jc w:val="right"/>
              <w:rPr>
                <w:sz w:val="20"/>
                <w:szCs w:val="20"/>
              </w:rPr>
            </w:pPr>
            <w:r w:rsidRPr="00A87D86">
              <w:rPr>
                <w:sz w:val="20"/>
                <w:szCs w:val="20"/>
              </w:rPr>
              <w:t>Počet listů:</w:t>
            </w:r>
          </w:p>
        </w:tc>
        <w:tc>
          <w:tcPr>
            <w:tcW w:w="2410" w:type="dxa"/>
            <w:shd w:val="clear" w:color="auto" w:fill="auto"/>
          </w:tcPr>
          <w:p w14:paraId="73D1DCFA" w14:textId="2E2005FA" w:rsidR="00722F92" w:rsidRPr="00A87D86" w:rsidRDefault="00722F92" w:rsidP="00722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966" w:type="dxa"/>
            <w:vMerge/>
            <w:shd w:val="clear" w:color="auto" w:fill="auto"/>
          </w:tcPr>
          <w:p w14:paraId="55175BFA" w14:textId="77777777" w:rsidR="00722F92" w:rsidRDefault="00722F92" w:rsidP="00722F92"/>
        </w:tc>
      </w:tr>
      <w:tr w:rsidR="00722F92" w14:paraId="15E62F99" w14:textId="77777777" w:rsidTr="00722F92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6AEEB8BB" w14:textId="77777777" w:rsidR="00722F92" w:rsidRPr="00A87D86" w:rsidRDefault="00722F92" w:rsidP="00722F92">
            <w:pPr>
              <w:jc w:val="right"/>
              <w:rPr>
                <w:sz w:val="20"/>
                <w:szCs w:val="20"/>
              </w:rPr>
            </w:pPr>
            <w:r w:rsidRPr="00A87D86">
              <w:rPr>
                <w:sz w:val="20"/>
                <w:szCs w:val="20"/>
              </w:rPr>
              <w:t>Datum:</w:t>
            </w:r>
          </w:p>
        </w:tc>
        <w:tc>
          <w:tcPr>
            <w:tcW w:w="2410" w:type="dxa"/>
            <w:shd w:val="clear" w:color="auto" w:fill="auto"/>
          </w:tcPr>
          <w:p w14:paraId="6331D18C" w14:textId="77777777" w:rsidR="00722F92" w:rsidRPr="00A87D86" w:rsidRDefault="00722F92" w:rsidP="00722F92">
            <w:pPr>
              <w:rPr>
                <w:sz w:val="20"/>
                <w:szCs w:val="20"/>
              </w:rPr>
            </w:pPr>
            <w:r w:rsidRPr="00A87D86">
              <w:rPr>
                <w:sz w:val="20"/>
                <w:szCs w:val="20"/>
              </w:rPr>
              <w:fldChar w:fldCharType="begin"/>
            </w:r>
            <w:r w:rsidRPr="00A87D86">
              <w:rPr>
                <w:sz w:val="20"/>
                <w:szCs w:val="20"/>
              </w:rPr>
              <w:instrText xml:space="preserve"> TIME \@ "dd.MM.yyyy" </w:instrText>
            </w:r>
            <w:r w:rsidRPr="00A87D86">
              <w:rPr>
                <w:sz w:val="20"/>
                <w:szCs w:val="20"/>
              </w:rPr>
              <w:fldChar w:fldCharType="separate"/>
            </w:r>
            <w:r>
              <w:rPr>
                <w:noProof/>
                <w:sz w:val="20"/>
                <w:szCs w:val="20"/>
              </w:rPr>
              <w:t>03.11.2022</w:t>
            </w:r>
            <w:r w:rsidRPr="00A87D86">
              <w:rPr>
                <w:sz w:val="20"/>
                <w:szCs w:val="20"/>
              </w:rPr>
              <w:fldChar w:fldCharType="end"/>
            </w:r>
          </w:p>
        </w:tc>
        <w:tc>
          <w:tcPr>
            <w:tcW w:w="1966" w:type="dxa"/>
            <w:vMerge/>
            <w:shd w:val="clear" w:color="auto" w:fill="auto"/>
          </w:tcPr>
          <w:p w14:paraId="0940CC31" w14:textId="77777777" w:rsidR="00722F92" w:rsidRDefault="00722F92" w:rsidP="00722F92"/>
        </w:tc>
      </w:tr>
      <w:tr w:rsidR="00722F92" w14:paraId="2F2552B3" w14:textId="77777777" w:rsidTr="00722F92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3ABCB21C" w14:textId="77777777" w:rsidR="00722F92" w:rsidRPr="00A87D86" w:rsidRDefault="00722F92" w:rsidP="00722F92">
            <w:pPr>
              <w:jc w:val="right"/>
              <w:rPr>
                <w:sz w:val="20"/>
                <w:szCs w:val="20"/>
              </w:rPr>
            </w:pPr>
            <w:r w:rsidRPr="00A87D86">
              <w:rPr>
                <w:sz w:val="20"/>
                <w:szCs w:val="20"/>
              </w:rPr>
              <w:t>Stupeň dokumentace:</w:t>
            </w:r>
          </w:p>
        </w:tc>
        <w:tc>
          <w:tcPr>
            <w:tcW w:w="2410" w:type="dxa"/>
            <w:shd w:val="clear" w:color="auto" w:fill="auto"/>
          </w:tcPr>
          <w:p w14:paraId="7409B87B" w14:textId="75C10D0B" w:rsidR="00722F92" w:rsidRPr="00A87D86" w:rsidRDefault="00722F92" w:rsidP="00722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DPS</w:t>
            </w:r>
          </w:p>
        </w:tc>
        <w:tc>
          <w:tcPr>
            <w:tcW w:w="1966" w:type="dxa"/>
            <w:vMerge/>
            <w:shd w:val="clear" w:color="auto" w:fill="auto"/>
          </w:tcPr>
          <w:p w14:paraId="33F73E7F" w14:textId="77777777" w:rsidR="00722F92" w:rsidRDefault="00722F92" w:rsidP="00722F92"/>
        </w:tc>
      </w:tr>
    </w:tbl>
    <w:p w14:paraId="4DE77E6A" w14:textId="77777777" w:rsidR="00722F92" w:rsidRPr="005874EF" w:rsidRDefault="00722F92" w:rsidP="00722F92">
      <w:pPr>
        <w:rPr>
          <w:vanish/>
        </w:rPr>
      </w:pPr>
    </w:p>
    <w:p w14:paraId="304A9D79" w14:textId="77777777" w:rsidR="00EB2CB3" w:rsidRPr="005874EF" w:rsidRDefault="00EB2CB3" w:rsidP="00EB2CB3">
      <w:pPr>
        <w:rPr>
          <w:vanish/>
        </w:rPr>
      </w:pPr>
    </w:p>
    <w:p w14:paraId="079351D0" w14:textId="77777777" w:rsidR="00EB2CB3" w:rsidRDefault="00EB2CB3" w:rsidP="00EB2CB3"/>
    <w:p w14:paraId="2B8B3B38" w14:textId="77777777" w:rsidR="00EB2CB3" w:rsidRDefault="00EB2CB3" w:rsidP="00EB2CB3"/>
    <w:p w14:paraId="5B7D7791" w14:textId="3CA09019" w:rsidR="005F0A12" w:rsidRPr="005F0A12" w:rsidRDefault="00EB2CB3" w:rsidP="00C17BCC">
      <w:pPr>
        <w:jc w:val="center"/>
        <w:rPr>
          <w:b/>
          <w:bCs/>
          <w:sz w:val="28"/>
          <w:szCs w:val="28"/>
        </w:rPr>
      </w:pPr>
      <w: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4"/>
          <w:szCs w:val="22"/>
          <w:lang w:eastAsia="en-US"/>
        </w:rPr>
        <w:id w:val="-186597272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32E8CED" w14:textId="66F7B83E" w:rsidR="007A478E" w:rsidRPr="00A92A34" w:rsidRDefault="007A478E" w:rsidP="007A478E">
          <w:pPr>
            <w:pStyle w:val="Nadpisobsahu"/>
            <w:numPr>
              <w:ilvl w:val="0"/>
              <w:numId w:val="0"/>
            </w:numPr>
            <w:ind w:left="431" w:hanging="431"/>
            <w:rPr>
              <w:rFonts w:ascii="Calibri" w:hAnsi="Calibri" w:cs="Calibri"/>
              <w:b/>
              <w:bCs/>
              <w:color w:val="auto"/>
            </w:rPr>
          </w:pPr>
          <w:r w:rsidRPr="00A92A34">
            <w:rPr>
              <w:rFonts w:ascii="Calibri" w:hAnsi="Calibri" w:cs="Calibri"/>
              <w:b/>
              <w:bCs/>
              <w:color w:val="auto"/>
            </w:rPr>
            <w:t>Obsah</w:t>
          </w:r>
        </w:p>
        <w:p w14:paraId="1084333E" w14:textId="13D6A038" w:rsidR="00722F92" w:rsidRDefault="007A478E">
          <w:pPr>
            <w:pStyle w:val="Obsah1"/>
            <w:tabs>
              <w:tab w:val="left" w:pos="4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r w:rsidRPr="00A92A34">
            <w:rPr>
              <w:rFonts w:ascii="Calibri" w:hAnsi="Calibri" w:cs="Calibri"/>
            </w:rPr>
            <w:fldChar w:fldCharType="begin"/>
          </w:r>
          <w:r w:rsidRPr="00A92A34">
            <w:rPr>
              <w:rFonts w:ascii="Calibri" w:hAnsi="Calibri" w:cs="Calibri"/>
            </w:rPr>
            <w:instrText xml:space="preserve"> TOC \o "1-3" \h \z \u </w:instrText>
          </w:r>
          <w:r w:rsidRPr="00A92A34">
            <w:rPr>
              <w:rFonts w:ascii="Calibri" w:hAnsi="Calibri" w:cs="Calibri"/>
            </w:rPr>
            <w:fldChar w:fldCharType="separate"/>
          </w:r>
          <w:hyperlink w:anchor="_Toc118381548" w:history="1">
            <w:r w:rsidR="00722F92" w:rsidRPr="00415F99">
              <w:rPr>
                <w:rStyle w:val="Hypertextovodkaz"/>
                <w:noProof/>
              </w:rPr>
              <w:t>1</w:t>
            </w:r>
            <w:r w:rsidR="00722F92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22F92" w:rsidRPr="00415F99">
              <w:rPr>
                <w:rStyle w:val="Hypertextovodkaz"/>
                <w:noProof/>
              </w:rPr>
              <w:t>Úvod</w:t>
            </w:r>
            <w:r w:rsidR="00722F92">
              <w:rPr>
                <w:noProof/>
                <w:webHidden/>
              </w:rPr>
              <w:tab/>
            </w:r>
            <w:r w:rsidR="00722F92">
              <w:rPr>
                <w:noProof/>
                <w:webHidden/>
              </w:rPr>
              <w:fldChar w:fldCharType="begin"/>
            </w:r>
            <w:r w:rsidR="00722F92">
              <w:rPr>
                <w:noProof/>
                <w:webHidden/>
              </w:rPr>
              <w:instrText xml:space="preserve"> PAGEREF _Toc118381548 \h </w:instrText>
            </w:r>
            <w:r w:rsidR="00722F92">
              <w:rPr>
                <w:noProof/>
                <w:webHidden/>
              </w:rPr>
            </w:r>
            <w:r w:rsidR="00722F92">
              <w:rPr>
                <w:noProof/>
                <w:webHidden/>
              </w:rPr>
              <w:fldChar w:fldCharType="separate"/>
            </w:r>
            <w:r w:rsidR="00722F92">
              <w:rPr>
                <w:noProof/>
                <w:webHidden/>
              </w:rPr>
              <w:t>3</w:t>
            </w:r>
            <w:r w:rsidR="00722F92">
              <w:rPr>
                <w:noProof/>
                <w:webHidden/>
              </w:rPr>
              <w:fldChar w:fldCharType="end"/>
            </w:r>
          </w:hyperlink>
        </w:p>
        <w:p w14:paraId="3AAE8A2B" w14:textId="2BAD0EBA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49" w:history="1">
            <w:r w:rsidRPr="00415F99">
              <w:rPr>
                <w:rStyle w:val="Hypertextovodkaz"/>
                <w:noProof/>
              </w:rPr>
              <w:t>1.1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Projektové podklady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F779BF" w14:textId="7D0BC1C4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0" w:history="1">
            <w:r w:rsidRPr="00415F99">
              <w:rPr>
                <w:rStyle w:val="Hypertextovodkaz"/>
                <w:noProof/>
              </w:rPr>
              <w:t>1.2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Poplachové, zabezpečovací a tísňové systémy (PZTS)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068455" w14:textId="6668644B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1" w:history="1">
            <w:r w:rsidRPr="00415F99">
              <w:rPr>
                <w:rStyle w:val="Hypertextovodkaz"/>
                <w:noProof/>
              </w:rPr>
              <w:t>1.3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Použité zkratky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0F7297" w14:textId="4F60A35A" w:rsidR="00722F92" w:rsidRDefault="00722F92">
          <w:pPr>
            <w:pStyle w:val="Obsah1"/>
            <w:tabs>
              <w:tab w:val="left" w:pos="4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2" w:history="1">
            <w:r w:rsidRPr="00415F99">
              <w:rPr>
                <w:rStyle w:val="Hypertextovodkaz"/>
                <w:noProof/>
              </w:rPr>
              <w:t>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Technická zpráva PZTS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ABF029" w14:textId="2C7864FA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3" w:history="1">
            <w:r w:rsidRPr="00415F99">
              <w:rPr>
                <w:rStyle w:val="Hypertextovodkaz"/>
                <w:noProof/>
              </w:rPr>
              <w:t>2.1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Prostředí dle ČSN EN 50131-1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291E8D" w14:textId="1E36BB2E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4" w:history="1">
            <w:r w:rsidRPr="00415F99">
              <w:rPr>
                <w:rStyle w:val="Hypertextovodkaz"/>
                <w:noProof/>
              </w:rPr>
              <w:t>2.2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Rozvodná soustava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85CFE6" w14:textId="2AB57AC2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5" w:history="1">
            <w:r w:rsidRPr="00415F99">
              <w:rPr>
                <w:rStyle w:val="Hypertextovodkaz"/>
                <w:noProof/>
              </w:rPr>
              <w:t>2.3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Uzemnění a stínění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85B21A" w14:textId="200A43B6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6" w:history="1">
            <w:r w:rsidRPr="00415F99">
              <w:rPr>
                <w:rStyle w:val="Hypertextovodkaz"/>
                <w:noProof/>
              </w:rPr>
              <w:t>2.4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Vliv na životní prostředí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0E598C" w14:textId="657B47C4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7" w:history="1">
            <w:r w:rsidRPr="00415F99">
              <w:rPr>
                <w:rStyle w:val="Hypertextovodkaz"/>
                <w:noProof/>
              </w:rPr>
              <w:t>2.5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Technické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8E425A" w14:textId="3D3BE99C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8" w:history="1">
            <w:r w:rsidRPr="00415F99">
              <w:rPr>
                <w:rStyle w:val="Hypertextovodkaz"/>
                <w:noProof/>
              </w:rPr>
              <w:t>2.6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Výstup poplachové informace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943F28" w14:textId="14C205EC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59" w:history="1">
            <w:r w:rsidRPr="00415F99">
              <w:rPr>
                <w:rStyle w:val="Hypertextovodkaz"/>
                <w:noProof/>
              </w:rPr>
              <w:t>2.7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Zařízení dálkového přenosu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478773" w14:textId="4AD7CAEE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0" w:history="1">
            <w:r w:rsidRPr="00415F99">
              <w:rPr>
                <w:rStyle w:val="Hypertextovodkaz"/>
                <w:noProof/>
              </w:rPr>
              <w:t>2.8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Napájení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23F6CE" w14:textId="6D805F49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1" w:history="1">
            <w:r w:rsidRPr="00415F99">
              <w:rPr>
                <w:rStyle w:val="Hypertextovodkaz"/>
                <w:rFonts w:cs="Times New Roman"/>
                <w:noProof/>
              </w:rPr>
              <w:t>2.9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Zálohování napájení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C0273C" w14:textId="11EE2616" w:rsidR="00722F92" w:rsidRDefault="00722F92">
          <w:pPr>
            <w:pStyle w:val="Obsah2"/>
            <w:tabs>
              <w:tab w:val="left" w:pos="110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2" w:history="1">
            <w:r w:rsidRPr="00415F99">
              <w:rPr>
                <w:rStyle w:val="Hypertextovodkaz"/>
                <w:i/>
                <w:noProof/>
              </w:rPr>
              <w:t>2.10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Rozvody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ADFFF1" w14:textId="7BC838F4" w:rsidR="00722F92" w:rsidRDefault="00722F92">
          <w:pPr>
            <w:pStyle w:val="Obsah1"/>
            <w:tabs>
              <w:tab w:val="left" w:pos="4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3" w:history="1">
            <w:r w:rsidRPr="00415F99">
              <w:rPr>
                <w:rStyle w:val="Hypertextovodkaz"/>
                <w:noProof/>
              </w:rPr>
              <w:t>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Technická zpráva CCTV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407D8B" w14:textId="696B2C45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4" w:history="1">
            <w:r w:rsidRPr="00415F99">
              <w:rPr>
                <w:rStyle w:val="Hypertextovodkaz"/>
                <w:noProof/>
              </w:rPr>
              <w:t>3.1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Technické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1D11CA" w14:textId="7A45B60C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5" w:history="1">
            <w:r w:rsidRPr="00415F99">
              <w:rPr>
                <w:rStyle w:val="Hypertextovodkaz"/>
                <w:rFonts w:ascii="Tahoma" w:hAnsi="Tahoma" w:cs="Times New Roman"/>
                <w:noProof/>
              </w:rPr>
              <w:t>3.2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Napájení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40597B" w14:textId="1EC21E1A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6" w:history="1">
            <w:r w:rsidRPr="00415F99">
              <w:rPr>
                <w:rStyle w:val="Hypertextovodkaz"/>
                <w:rFonts w:ascii="Tahoma" w:hAnsi="Tahoma" w:cs="Times New Roman"/>
                <w:noProof/>
              </w:rPr>
              <w:t>3.3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Vedení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B5C17E" w14:textId="22CE0342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7" w:history="1">
            <w:r w:rsidRPr="00415F99">
              <w:rPr>
                <w:rStyle w:val="Hypertextovodkaz"/>
                <w:rFonts w:ascii="Tahoma" w:hAnsi="Tahoma" w:cs="Times New Roman"/>
                <w:noProof/>
              </w:rPr>
              <w:t>3.4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Záznamové zařízení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CCB15A" w14:textId="141E4C7F" w:rsidR="00722F92" w:rsidRDefault="00722F92">
          <w:pPr>
            <w:pStyle w:val="Obsah1"/>
            <w:tabs>
              <w:tab w:val="left" w:pos="4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8" w:history="1">
            <w:r w:rsidRPr="00415F99">
              <w:rPr>
                <w:rStyle w:val="Hypertextovodkaz"/>
                <w:noProof/>
              </w:rPr>
              <w:t>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Společná ustanovení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BC9479" w14:textId="4BA09031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69" w:history="1">
            <w:r w:rsidRPr="00415F99">
              <w:rPr>
                <w:rStyle w:val="Hypertextovodkaz"/>
                <w:noProof/>
              </w:rPr>
              <w:t>4.1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Zkušební provoz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98CA70" w14:textId="5979F973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70" w:history="1">
            <w:r w:rsidRPr="00415F99">
              <w:rPr>
                <w:rStyle w:val="Hypertextovodkaz"/>
                <w:noProof/>
              </w:rPr>
              <w:t>4.2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Pokyny pro pracovníky provádějící revize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9AF47E" w14:textId="7D158921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71" w:history="1">
            <w:r w:rsidRPr="00415F99">
              <w:rPr>
                <w:rStyle w:val="Hypertextovodkaz"/>
                <w:noProof/>
              </w:rPr>
              <w:t>4.3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Pravidelná kontrola a údržba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A25C65" w14:textId="4C713FAF" w:rsidR="00722F92" w:rsidRDefault="00722F92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18381572" w:history="1">
            <w:r w:rsidRPr="00415F99">
              <w:rPr>
                <w:rStyle w:val="Hypertextovodkaz"/>
                <w:noProof/>
              </w:rPr>
              <w:t>4.4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415F99">
              <w:rPr>
                <w:rStyle w:val="Hypertextovodkaz"/>
                <w:noProof/>
              </w:rPr>
              <w:t>Závěrečná ustanovení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_Toc118381572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E11260" w14:textId="57BF4144" w:rsidR="007A478E" w:rsidRDefault="007A478E">
          <w:r w:rsidRPr="00A92A34">
            <w:rPr>
              <w:rFonts w:ascii="Calibri" w:hAnsi="Calibri" w:cs="Calibri"/>
              <w:b/>
              <w:bCs/>
            </w:rPr>
            <w:fldChar w:fldCharType="end"/>
          </w:r>
        </w:p>
      </w:sdtContent>
    </w:sdt>
    <w:p w14:paraId="01AE9943" w14:textId="0A1E6280" w:rsidR="006708B6" w:rsidRDefault="006708B6">
      <w:pPr>
        <w:spacing w:after="200" w:line="276" w:lineRule="auto"/>
        <w:rPr>
          <w:rFonts w:eastAsia="Times New Roman" w:cs="Times New Roman"/>
          <w:b/>
          <w:bCs/>
          <w:sz w:val="32"/>
          <w:szCs w:val="32"/>
          <w:lang w:eastAsia="cs-CZ"/>
        </w:rPr>
      </w:pPr>
    </w:p>
    <w:p w14:paraId="25BAD16E" w14:textId="77777777" w:rsidR="00722F92" w:rsidRDefault="00722F92" w:rsidP="00722F92">
      <w:pPr>
        <w:pStyle w:val="Nadpis1"/>
      </w:pPr>
      <w:bookmarkStart w:id="0" w:name="_Toc23841568"/>
      <w:bookmarkStart w:id="1" w:name="_Toc118381176"/>
      <w:bookmarkStart w:id="2" w:name="_Toc118381548"/>
      <w:r>
        <w:lastRenderedPageBreak/>
        <w:t>Úvod</w:t>
      </w:r>
      <w:bookmarkEnd w:id="0"/>
      <w:bookmarkEnd w:id="1"/>
      <w:bookmarkEnd w:id="2"/>
    </w:p>
    <w:p w14:paraId="0B0121C3" w14:textId="77777777" w:rsidR="00722F92" w:rsidRDefault="00722F92" w:rsidP="00722F92">
      <w:pPr>
        <w:pStyle w:val="Nadpis2"/>
      </w:pPr>
      <w:bookmarkStart w:id="3" w:name="_Toc23841569"/>
      <w:bookmarkStart w:id="4" w:name="_Toc118381177"/>
      <w:bookmarkStart w:id="5" w:name="_Toc118381549"/>
      <w:r>
        <w:t>Projektové podklady</w:t>
      </w:r>
      <w:bookmarkEnd w:id="3"/>
      <w:bookmarkEnd w:id="4"/>
      <w:bookmarkEnd w:id="5"/>
    </w:p>
    <w:p w14:paraId="4578DD2D" w14:textId="77777777" w:rsidR="00722F92" w:rsidRDefault="00722F92" w:rsidP="00722F92">
      <w:pPr>
        <w:pStyle w:val="Odstavec"/>
        <w:numPr>
          <w:ilvl w:val="0"/>
          <w:numId w:val="10"/>
        </w:numPr>
        <w:rPr>
          <w:lang w:val="cs-CZ"/>
        </w:rPr>
      </w:pPr>
      <w:r>
        <w:rPr>
          <w:lang w:val="cs-CZ"/>
        </w:rPr>
        <w:t>Požadavky investora a uživatele</w:t>
      </w:r>
    </w:p>
    <w:p w14:paraId="48C9EF0C" w14:textId="77777777" w:rsidR="00722F92" w:rsidRDefault="00722F92" w:rsidP="00722F92">
      <w:pPr>
        <w:pStyle w:val="Odstavec"/>
        <w:numPr>
          <w:ilvl w:val="0"/>
          <w:numId w:val="10"/>
        </w:numPr>
        <w:rPr>
          <w:lang w:val="cs-CZ"/>
        </w:rPr>
      </w:pPr>
      <w:r>
        <w:rPr>
          <w:lang w:val="cs-CZ"/>
        </w:rPr>
        <w:t>Technické specifikace systémů</w:t>
      </w:r>
    </w:p>
    <w:p w14:paraId="05E48830" w14:textId="77777777" w:rsidR="00722F92" w:rsidRDefault="00722F92" w:rsidP="00722F92">
      <w:pPr>
        <w:pStyle w:val="Nadpis2"/>
      </w:pPr>
      <w:bookmarkStart w:id="6" w:name="_Toc23841570"/>
      <w:bookmarkStart w:id="7" w:name="_Toc118381178"/>
      <w:bookmarkStart w:id="8" w:name="_Toc118381550"/>
      <w:r>
        <w:t>Poplachové, zabezpečovací a tísňové systémy (PZTS)</w:t>
      </w:r>
      <w:bookmarkEnd w:id="6"/>
      <w:bookmarkEnd w:id="7"/>
      <w:bookmarkEnd w:id="8"/>
    </w:p>
    <w:p w14:paraId="2B495156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Koncepce systému PZTS se vyznačuje vysokou flexibilitou, a umožňuje snadné přizpůsobení. Systém bude umožňovat ovládání různých částí systému, vytvořených podle potřeb uživatele. Jednotlivé podsystémy mohou být ovládány různými osobami (podle přidělených oprávnění) s jednoznačnou identifikací podle jména a času. Přes port RS232 může dále komunikovat s PCO.</w:t>
      </w:r>
    </w:p>
    <w:p w14:paraId="36C2170D" w14:textId="77777777" w:rsidR="00722F92" w:rsidRDefault="00722F92" w:rsidP="00722F92">
      <w:pPr>
        <w:pStyle w:val="Nadpis2"/>
      </w:pPr>
      <w:bookmarkStart w:id="9" w:name="_Toc23841571"/>
      <w:bookmarkStart w:id="10" w:name="_Toc118381179"/>
      <w:bookmarkStart w:id="11" w:name="_Toc118381551"/>
      <w:r>
        <w:t>Použité zkratky</w:t>
      </w:r>
      <w:bookmarkEnd w:id="9"/>
      <w:bookmarkEnd w:id="10"/>
      <w:bookmarkEnd w:id="11"/>
    </w:p>
    <w:p w14:paraId="4EFB1A26" w14:textId="77777777" w:rsidR="00722F92" w:rsidRDefault="00722F92" w:rsidP="00722F92">
      <w:pPr>
        <w:pStyle w:val="Odstavec"/>
        <w:rPr>
          <w:lang w:val="cs-CZ" w:eastAsia="en-US"/>
        </w:rPr>
      </w:pPr>
      <w:r>
        <w:rPr>
          <w:lang w:val="cs-CZ" w:eastAsia="en-US"/>
        </w:rPr>
        <w:t xml:space="preserve">DZS </w:t>
      </w:r>
      <w:r>
        <w:rPr>
          <w:lang w:val="cs-CZ" w:eastAsia="en-US"/>
        </w:rPr>
        <w:tab/>
      </w:r>
      <w:r>
        <w:rPr>
          <w:lang w:val="cs-CZ" w:eastAsia="en-US"/>
        </w:rPr>
        <w:tab/>
        <w:t>– Dokumentace pro zadání stavby (výběr dodavatele)</w:t>
      </w:r>
    </w:p>
    <w:p w14:paraId="12270823" w14:textId="77777777" w:rsidR="00722F92" w:rsidRDefault="00722F92" w:rsidP="00722F92">
      <w:pPr>
        <w:pStyle w:val="Odstavec"/>
        <w:ind w:left="2134" w:hanging="1425"/>
        <w:rPr>
          <w:lang w:val="cs-CZ" w:eastAsia="en-US"/>
        </w:rPr>
      </w:pPr>
      <w:r>
        <w:rPr>
          <w:lang w:val="cs-CZ" w:eastAsia="en-US"/>
        </w:rPr>
        <w:t xml:space="preserve">PZTS/PZS </w:t>
      </w:r>
      <w:r>
        <w:rPr>
          <w:lang w:val="cs-CZ" w:eastAsia="en-US"/>
        </w:rPr>
        <w:tab/>
        <w:t>– Poplachový zabezpečovací a tísňový systém / Poplachový zabezpečovací systém (dříve EZS – Elektronická zabezpečovací signalizace)</w:t>
      </w:r>
    </w:p>
    <w:p w14:paraId="7E6FE281" w14:textId="77777777" w:rsidR="00722F92" w:rsidRDefault="00722F92" w:rsidP="00722F92">
      <w:pPr>
        <w:pStyle w:val="Odstavec"/>
        <w:ind w:left="2134" w:hanging="1425"/>
        <w:rPr>
          <w:lang w:val="cs-CZ" w:eastAsia="en-US"/>
        </w:rPr>
      </w:pPr>
      <w:r>
        <w:rPr>
          <w:lang w:val="cs-CZ" w:eastAsia="en-US"/>
        </w:rPr>
        <w:t>SK (UKS)</w:t>
      </w:r>
      <w:r>
        <w:rPr>
          <w:lang w:val="cs-CZ" w:eastAsia="en-US"/>
        </w:rPr>
        <w:tab/>
        <w:t>- Strukturovaná kabeláž (Univerzální kabelážní systém)</w:t>
      </w:r>
    </w:p>
    <w:p w14:paraId="25516D1F" w14:textId="77777777" w:rsidR="00722F92" w:rsidRDefault="00722F92" w:rsidP="00722F92">
      <w:pPr>
        <w:pStyle w:val="Odstavec"/>
        <w:ind w:left="2134" w:hanging="1425"/>
        <w:rPr>
          <w:lang w:val="cs-CZ" w:eastAsia="en-US"/>
        </w:rPr>
      </w:pPr>
      <w:proofErr w:type="gramStart"/>
      <w:r>
        <w:rPr>
          <w:lang w:val="cs-CZ" w:eastAsia="en-US"/>
        </w:rPr>
        <w:t>ZDP</w:t>
      </w:r>
      <w:r>
        <w:rPr>
          <w:lang w:val="cs-CZ" w:eastAsia="en-US"/>
        </w:rPr>
        <w:tab/>
        <w:t>- Zařízení</w:t>
      </w:r>
      <w:proofErr w:type="gramEnd"/>
      <w:r>
        <w:rPr>
          <w:lang w:val="cs-CZ" w:eastAsia="en-US"/>
        </w:rPr>
        <w:t xml:space="preserve"> dálkového přenosu</w:t>
      </w:r>
    </w:p>
    <w:p w14:paraId="3FD3F449" w14:textId="77777777" w:rsidR="00722F92" w:rsidRDefault="00722F92" w:rsidP="00722F92">
      <w:pPr>
        <w:pStyle w:val="Odstavec"/>
        <w:rPr>
          <w:lang w:val="cs-CZ" w:eastAsia="en-US"/>
        </w:rPr>
      </w:pPr>
      <w:r>
        <w:rPr>
          <w:lang w:val="cs-CZ" w:eastAsia="en-US"/>
        </w:rPr>
        <w:t>PZ</w:t>
      </w:r>
      <w:r>
        <w:rPr>
          <w:lang w:val="cs-CZ" w:eastAsia="en-US"/>
        </w:rPr>
        <w:tab/>
      </w:r>
      <w:r>
        <w:rPr>
          <w:lang w:val="cs-CZ" w:eastAsia="en-US"/>
        </w:rPr>
        <w:tab/>
        <w:t>- Pomocný zdroj</w:t>
      </w:r>
    </w:p>
    <w:p w14:paraId="414F6CEF" w14:textId="77777777" w:rsidR="00722F92" w:rsidRDefault="00722F92" w:rsidP="00722F92">
      <w:pPr>
        <w:pStyle w:val="Odstavec"/>
        <w:rPr>
          <w:lang w:val="cs-CZ" w:eastAsia="en-US"/>
        </w:rPr>
      </w:pPr>
    </w:p>
    <w:p w14:paraId="1F12F38E" w14:textId="77777777" w:rsidR="00722F92" w:rsidRDefault="00722F92" w:rsidP="00722F92">
      <w:pPr>
        <w:pStyle w:val="Nadpis1"/>
      </w:pPr>
      <w:bookmarkStart w:id="12" w:name="_Toc23841572"/>
      <w:bookmarkStart w:id="13" w:name="_Toc118381180"/>
      <w:bookmarkStart w:id="14" w:name="_Toc118381552"/>
      <w:r>
        <w:t>Technická zpráva PZTS</w:t>
      </w:r>
      <w:bookmarkEnd w:id="12"/>
      <w:bookmarkEnd w:id="13"/>
      <w:bookmarkEnd w:id="14"/>
    </w:p>
    <w:p w14:paraId="35164330" w14:textId="77777777" w:rsidR="00722F92" w:rsidRDefault="00722F92" w:rsidP="00722F92">
      <w:pPr>
        <w:pStyle w:val="Nadpis2"/>
      </w:pPr>
      <w:bookmarkStart w:id="15" w:name="_Toc23841573"/>
      <w:bookmarkStart w:id="16" w:name="_Toc118381181"/>
      <w:bookmarkStart w:id="17" w:name="_Toc118381553"/>
      <w:r>
        <w:t>Prostředí dle ČSN EN 50131-1</w:t>
      </w:r>
      <w:bookmarkEnd w:id="15"/>
      <w:bookmarkEnd w:id="16"/>
      <w:bookmarkEnd w:id="17"/>
    </w:p>
    <w:p w14:paraId="321C4F8C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Není-li uvedeno jinak, je ve všech vnitřních prostorách vybavených systémem PZTS prostředí </w:t>
      </w:r>
      <w:r>
        <w:rPr>
          <w:b/>
          <w:bCs/>
          <w:i/>
          <w:iCs/>
          <w:lang w:val="cs-CZ"/>
        </w:rPr>
        <w:t>vnitřní všeobecné – třída II</w:t>
      </w:r>
      <w:r>
        <w:rPr>
          <w:lang w:val="cs-CZ"/>
        </w:rPr>
        <w:t>.</w:t>
      </w:r>
    </w:p>
    <w:p w14:paraId="03246FCD" w14:textId="77777777" w:rsidR="00722F92" w:rsidRDefault="00722F92" w:rsidP="00722F92">
      <w:pPr>
        <w:pStyle w:val="Nadpis2"/>
      </w:pPr>
      <w:bookmarkStart w:id="18" w:name="_Toc23841574"/>
      <w:bookmarkStart w:id="19" w:name="_Toc118381182"/>
      <w:bookmarkStart w:id="20" w:name="_Toc118381554"/>
      <w:r>
        <w:t>Rozvodná soustava</w:t>
      </w:r>
      <w:bookmarkEnd w:id="18"/>
      <w:bookmarkEnd w:id="19"/>
      <w:bookmarkEnd w:id="20"/>
    </w:p>
    <w:p w14:paraId="27E1B8F5" w14:textId="77777777" w:rsidR="00722F92" w:rsidRDefault="00722F92" w:rsidP="00722F92">
      <w:pPr>
        <w:pStyle w:val="Odstavec"/>
        <w:rPr>
          <w:lang w:val="cs-CZ" w:eastAsia="en-US"/>
        </w:rPr>
      </w:pPr>
      <w:r>
        <w:rPr>
          <w:lang w:val="cs-CZ" w:eastAsia="en-US"/>
        </w:rPr>
        <w:t xml:space="preserve">Ústředna </w:t>
      </w:r>
      <w:r>
        <w:rPr>
          <w:lang w:val="cs-CZ"/>
        </w:rPr>
        <w:t>PZTS</w:t>
      </w:r>
      <w:r>
        <w:rPr>
          <w:lang w:val="cs-CZ" w:eastAsia="en-US"/>
        </w:rPr>
        <w:t>:</w:t>
      </w:r>
      <w:r>
        <w:rPr>
          <w:lang w:val="cs-CZ" w:eastAsia="en-US"/>
        </w:rPr>
        <w:tab/>
      </w:r>
      <w:r>
        <w:rPr>
          <w:lang w:val="cs-CZ" w:eastAsia="en-US"/>
        </w:rPr>
        <w:tab/>
      </w:r>
      <w:r>
        <w:rPr>
          <w:lang w:val="cs-CZ" w:eastAsia="en-US"/>
        </w:rPr>
        <w:tab/>
      </w:r>
      <w:r>
        <w:rPr>
          <w:lang w:val="cs-CZ" w:eastAsia="en-US"/>
        </w:rPr>
        <w:tab/>
        <w:t xml:space="preserve">TN – </w:t>
      </w:r>
      <w:proofErr w:type="gramStart"/>
      <w:r>
        <w:rPr>
          <w:lang w:val="cs-CZ" w:eastAsia="en-US"/>
        </w:rPr>
        <w:t>C – S</w:t>
      </w:r>
      <w:proofErr w:type="gramEnd"/>
      <w:r>
        <w:rPr>
          <w:lang w:val="cs-CZ" w:eastAsia="en-US"/>
        </w:rPr>
        <w:t> 230V/50Hz</w:t>
      </w:r>
    </w:p>
    <w:p w14:paraId="19814C4D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Silnoproudé rozvody napájení:</w:t>
      </w:r>
      <w:r>
        <w:rPr>
          <w:lang w:val="cs-CZ"/>
        </w:rPr>
        <w:tab/>
      </w:r>
      <w:r>
        <w:rPr>
          <w:lang w:val="cs-CZ"/>
        </w:rPr>
        <w:tab/>
        <w:t xml:space="preserve">TN – C – </w:t>
      </w:r>
      <w:proofErr w:type="gramStart"/>
      <w:r>
        <w:rPr>
          <w:lang w:val="cs-CZ"/>
        </w:rPr>
        <w:t>S  230</w:t>
      </w:r>
      <w:proofErr w:type="gramEnd"/>
      <w:r>
        <w:rPr>
          <w:lang w:val="cs-CZ"/>
        </w:rPr>
        <w:t>V/50Hz</w:t>
      </w:r>
    </w:p>
    <w:p w14:paraId="1058E06C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Rozvody PZTS:</w:t>
      </w:r>
      <w:r>
        <w:rPr>
          <w:lang w:val="cs-CZ"/>
        </w:rPr>
        <w:tab/>
      </w:r>
      <w:r>
        <w:rPr>
          <w:lang w:val="cs-CZ"/>
        </w:rPr>
        <w:tab/>
      </w:r>
      <w:r>
        <w:rPr>
          <w:lang w:val="cs-CZ"/>
        </w:rPr>
        <w:tab/>
      </w:r>
      <w:r>
        <w:rPr>
          <w:lang w:val="cs-CZ"/>
        </w:rPr>
        <w:tab/>
        <w:t>12Vss, SELV</w:t>
      </w:r>
    </w:p>
    <w:p w14:paraId="3CA6366C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Základní ochrana před nebezpečným dotykovým napětím živých částí bude provedena krytím a izolací, při poruše bude provedena samočinným odpojením od zdroje v síti TN-C-S a malým napětím SELV/PELV, dle ČSN EN 61140 ed.2, ČSN 33 2000-4-41 ed.2.</w:t>
      </w:r>
    </w:p>
    <w:p w14:paraId="4F82A6FF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Ochranná svorka musí mít odpor vodivého spojení se všemi kovovými částmi přístupnými dotyku maximálně 0,1 </w:t>
      </w:r>
      <w:r>
        <w:rPr>
          <w:lang w:val="cs-CZ"/>
        </w:rPr>
        <w:sym w:font="Symbol" w:char="F057"/>
      </w:r>
      <w:r>
        <w:rPr>
          <w:lang w:val="cs-CZ"/>
        </w:rPr>
        <w:t>, dle ČSN 33 0360 čl. 3.1.</w:t>
      </w:r>
    </w:p>
    <w:p w14:paraId="624D75B4" w14:textId="77777777" w:rsidR="00722F92" w:rsidRDefault="00722F92" w:rsidP="00722F92">
      <w:pPr>
        <w:pStyle w:val="Nadpis2"/>
      </w:pPr>
      <w:bookmarkStart w:id="21" w:name="_Toc23841576"/>
      <w:bookmarkStart w:id="22" w:name="_Toc118381183"/>
      <w:bookmarkStart w:id="23" w:name="_Toc118381555"/>
      <w:r>
        <w:lastRenderedPageBreak/>
        <w:t>Uzemnění a stínění</w:t>
      </w:r>
      <w:bookmarkEnd w:id="21"/>
      <w:bookmarkEnd w:id="22"/>
      <w:bookmarkEnd w:id="23"/>
    </w:p>
    <w:p w14:paraId="50A957E7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Montáž jednotlivých zařízení systému bude provedena podle technických podmínek výrobců, které zaručují, že nebudou rušena další technologická zařízení. Stínění kabelů se spojuje do jednoho bodu.</w:t>
      </w:r>
    </w:p>
    <w:p w14:paraId="62E220E1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Ochranné svorky rozvodných skříní, skříní ústředen a napájecích zdrojů se vodivě propojí s ochranným vodičem PE(PEN).</w:t>
      </w:r>
    </w:p>
    <w:p w14:paraId="1814370D" w14:textId="77777777" w:rsidR="00722F92" w:rsidRDefault="00722F92" w:rsidP="00722F92">
      <w:pPr>
        <w:pStyle w:val="Nadpis2"/>
      </w:pPr>
      <w:bookmarkStart w:id="24" w:name="_Toc23841577"/>
      <w:bookmarkStart w:id="25" w:name="_Toc118381184"/>
      <w:bookmarkStart w:id="26" w:name="_Toc118381556"/>
      <w:r>
        <w:t>Vliv na životní prostředí</w:t>
      </w:r>
      <w:bookmarkEnd w:id="24"/>
      <w:bookmarkEnd w:id="25"/>
      <w:bookmarkEnd w:id="26"/>
    </w:p>
    <w:p w14:paraId="5A90A2FF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Všechna navržená zařízení splňují hygienické normy a nemají nepříznivý vliv na okolní životní prostředí.</w:t>
      </w:r>
    </w:p>
    <w:p w14:paraId="79C9F018" w14:textId="77777777" w:rsidR="00722F92" w:rsidRDefault="00722F92" w:rsidP="00722F92">
      <w:pPr>
        <w:pStyle w:val="Nadpis2"/>
      </w:pPr>
      <w:bookmarkStart w:id="27" w:name="_Toc23841578"/>
      <w:bookmarkStart w:id="28" w:name="_Toc118381185"/>
      <w:bookmarkStart w:id="29" w:name="_Toc118381557"/>
      <w:r>
        <w:t>Technické řešení</w:t>
      </w:r>
      <w:bookmarkEnd w:id="27"/>
      <w:bookmarkEnd w:id="28"/>
      <w:bookmarkEnd w:id="29"/>
    </w:p>
    <w:p w14:paraId="530CB24B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V prostorech Regionálního muzea a galerie je v současné době instalován zabezpečovací systém ASSET v integraci s docházkovým systémem ANET. Poplachové systémy jsou přenášeny na Systém centrální ochrany Police České republiky v Jičíně. Veškeré systémy jsou servisovány a revidovány společností </w:t>
      </w:r>
      <w:proofErr w:type="spellStart"/>
      <w:r>
        <w:rPr>
          <w:lang w:val="cs-CZ"/>
        </w:rPr>
        <w:t>Trade</w:t>
      </w:r>
      <w:proofErr w:type="spellEnd"/>
      <w:r>
        <w:rPr>
          <w:lang w:val="cs-CZ"/>
        </w:rPr>
        <w:t xml:space="preserve"> FIDES a.s., pobočka Hradec Králové. Níže popsané řešení řeší pouze expoziční prostory. Zbývající prostory nebudou dotčeny a při rekonstrukci se předpokládá zajištění provozu PZTS v rekonstrukcí nedotčené části muzea a galerie.  </w:t>
      </w:r>
    </w:p>
    <w:p w14:paraId="2920BE8A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Tato projektová dokumentace řeší komplexní zabezpečení v objektu regionální muzeum a galerie Jičín. Základem systému je modulární řídící jednotka (ústředna) jenž je umístěna v hlavní budově muzea, spolu se zdrojem a záložním zdrojem.</w:t>
      </w:r>
      <w:r>
        <w:rPr>
          <w:b/>
          <w:i/>
          <w:lang w:val="cs-CZ"/>
        </w:rPr>
        <w:t xml:space="preserve"> </w:t>
      </w:r>
      <w:r>
        <w:rPr>
          <w:lang w:val="cs-CZ"/>
        </w:rPr>
        <w:t>Pro připojení prvků PZTS jsou instalovány linkové moduly umístěné převážně pod stropem tak aby byl možný servisní přístup</w:t>
      </w:r>
      <w:r>
        <w:rPr>
          <w:b/>
          <w:i/>
          <w:lang w:val="cs-CZ"/>
        </w:rPr>
        <w:t xml:space="preserve">. </w:t>
      </w:r>
      <w:r>
        <w:rPr>
          <w:lang w:val="cs-CZ"/>
        </w:rPr>
        <w:t>Jejich rozmístění je patrné z výkresu.</w:t>
      </w:r>
      <w:r>
        <w:rPr>
          <w:b/>
          <w:i/>
          <w:lang w:val="cs-CZ"/>
        </w:rPr>
        <w:t xml:space="preserve"> </w:t>
      </w:r>
      <w:r>
        <w:rPr>
          <w:lang w:val="cs-CZ"/>
        </w:rPr>
        <w:t xml:space="preserve">Zabezpečení je koncipováno jako prostorové s částečnou plášťovou ochranou. Ve vybraných prostorech jsou instalovány duální PIR detektory pohybu. Jedná se o prostory s nebezpečím vniknutí do objektu a zájmové prostory. Plášťové zabezpečení je řešeno pouze magnetickými kontakty na otvíratelných částech dveří.  </w:t>
      </w:r>
    </w:p>
    <w:p w14:paraId="683A7F0F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Aktivní technologické prvky (linkové moduly, klávesnice, detektory) budou odborně demontovány a následně instalovány zpět na novou kabeláž v rozmístění dle této projektové dokumentace s ohledem na vzhled interiéru. Projektová dokumentace neřeší rozšíření sytému, pouze adresně odděluje Detektory tříštění skla od magnetických kontaktů pomocí doplňujících linkových modulů. </w:t>
      </w:r>
    </w:p>
    <w:p w14:paraId="272954DE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Systém je ovládán z klávesnic, umístěných v budově muzea a galerie, přičemž každá klávesnice ovládá pouze přidělené podsystémy.</w:t>
      </w:r>
    </w:p>
    <w:p w14:paraId="57EF5D57" w14:textId="77777777" w:rsidR="00722F92" w:rsidRDefault="00722F92" w:rsidP="00722F92">
      <w:pPr>
        <w:pStyle w:val="Odstavec"/>
        <w:numPr>
          <w:ilvl w:val="0"/>
          <w:numId w:val="11"/>
        </w:numPr>
        <w:rPr>
          <w:lang w:val="cs-CZ"/>
        </w:rPr>
      </w:pPr>
      <w:r>
        <w:rPr>
          <w:lang w:val="cs-CZ"/>
        </w:rPr>
        <w:t>Klávesnice 1 – VK 0/1 Virtuální klávesnice</w:t>
      </w:r>
    </w:p>
    <w:p w14:paraId="14DCBA3C" w14:textId="77777777" w:rsidR="00722F92" w:rsidRDefault="00722F92" w:rsidP="00722F92">
      <w:pPr>
        <w:pStyle w:val="Odstavec"/>
        <w:numPr>
          <w:ilvl w:val="0"/>
          <w:numId w:val="11"/>
        </w:numPr>
        <w:rPr>
          <w:lang w:val="cs-CZ"/>
        </w:rPr>
      </w:pPr>
      <w:r>
        <w:rPr>
          <w:lang w:val="cs-CZ"/>
        </w:rPr>
        <w:t>Klávesnice 2 – Docházková</w:t>
      </w:r>
    </w:p>
    <w:p w14:paraId="72E14B4A" w14:textId="77777777" w:rsidR="00722F92" w:rsidRDefault="00722F92" w:rsidP="00722F92">
      <w:pPr>
        <w:pStyle w:val="Odstavec"/>
        <w:numPr>
          <w:ilvl w:val="0"/>
          <w:numId w:val="11"/>
        </w:numPr>
        <w:rPr>
          <w:lang w:val="cs-CZ"/>
        </w:rPr>
      </w:pPr>
      <w:r>
        <w:rPr>
          <w:lang w:val="cs-CZ"/>
        </w:rPr>
        <w:t>Klávesnice 3 – Vedle docházkové</w:t>
      </w:r>
    </w:p>
    <w:p w14:paraId="48123843" w14:textId="1FA7BE84" w:rsidR="00722F92" w:rsidRPr="00722F92" w:rsidRDefault="00722F92" w:rsidP="00722F92">
      <w:pPr>
        <w:pStyle w:val="Odstavec"/>
        <w:numPr>
          <w:ilvl w:val="0"/>
          <w:numId w:val="11"/>
        </w:numPr>
        <w:rPr>
          <w:lang w:val="cs-CZ"/>
        </w:rPr>
      </w:pPr>
      <w:r>
        <w:rPr>
          <w:lang w:val="cs-CZ"/>
        </w:rPr>
        <w:t xml:space="preserve">Klávesnice </w:t>
      </w:r>
      <w:proofErr w:type="gramStart"/>
      <w:r>
        <w:rPr>
          <w:lang w:val="cs-CZ"/>
        </w:rPr>
        <w:t>4 – 4</w:t>
      </w:r>
      <w:proofErr w:type="gramEnd"/>
      <w:r>
        <w:rPr>
          <w:lang w:val="cs-CZ"/>
        </w:rPr>
        <w:t xml:space="preserve">/1 – </w:t>
      </w:r>
      <w:r>
        <w:rPr>
          <w:i/>
          <w:iCs/>
          <w:lang w:val="cs-CZ"/>
        </w:rPr>
        <w:t>Bude demontována</w:t>
      </w:r>
    </w:p>
    <w:p w14:paraId="01449F1B" w14:textId="77777777" w:rsidR="00722F92" w:rsidRDefault="00722F92" w:rsidP="00722F92">
      <w:pPr>
        <w:pStyle w:val="Odstavec"/>
        <w:ind w:left="1429" w:firstLine="0"/>
        <w:rPr>
          <w:lang w:val="cs-CZ"/>
        </w:rPr>
      </w:pPr>
    </w:p>
    <w:p w14:paraId="342A2EF2" w14:textId="77777777" w:rsidR="00722F92" w:rsidRDefault="00722F92" w:rsidP="00722F92">
      <w:pPr>
        <w:pStyle w:val="Odstavec"/>
        <w:rPr>
          <w:lang w:val="cs-CZ"/>
        </w:rPr>
      </w:pPr>
    </w:p>
    <w:p w14:paraId="49BA62FA" w14:textId="4098776C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lastRenderedPageBreak/>
        <w:t>Systém je rozdělen do několika navrhovaných podsystémů:</w:t>
      </w:r>
    </w:p>
    <w:p w14:paraId="04A3F2F6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A – Průvodkyně</w:t>
      </w:r>
    </w:p>
    <w:p w14:paraId="20AC68A3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B – Chodba jih a západ</w:t>
      </w:r>
    </w:p>
    <w:p w14:paraId="11370192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C – Kancl. 3, 4, 5 a foto</w:t>
      </w:r>
    </w:p>
    <w:p w14:paraId="0643F50A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D – Ředitel, sekretariát</w:t>
      </w:r>
    </w:p>
    <w:p w14:paraId="781C408B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E – Kancl. 15 a depo. 16</w:t>
      </w:r>
    </w:p>
    <w:p w14:paraId="6EE51260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F – Kancl. 17 a 21</w:t>
      </w:r>
    </w:p>
    <w:p w14:paraId="64FECCB5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G – Kancl. 20 a depo. 18</w:t>
      </w:r>
    </w:p>
    <w:p w14:paraId="1E0021E2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H – Kancl. 26 a depo. 24, 25</w:t>
      </w:r>
    </w:p>
    <w:p w14:paraId="5B8DAB4D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I – Depozitář 22</w:t>
      </w:r>
    </w:p>
    <w:p w14:paraId="64F19A7D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J – Depozitáře 23, 29</w:t>
      </w:r>
    </w:p>
    <w:p w14:paraId="23C08E5F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K – Depozitář 28</w:t>
      </w:r>
    </w:p>
    <w:p w14:paraId="2D2287A3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L – Depozitář 30</w:t>
      </w:r>
    </w:p>
    <w:p w14:paraId="20BA49BD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M – Expozice (sály 1-8)</w:t>
      </w:r>
    </w:p>
    <w:p w14:paraId="25ABA31D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N – Výstavní chod. terče</w:t>
      </w:r>
    </w:p>
    <w:p w14:paraId="449D6601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proofErr w:type="gramStart"/>
      <w:r>
        <w:rPr>
          <w:lang w:val="cs-CZ"/>
        </w:rPr>
        <w:t>O – 3</w:t>
      </w:r>
      <w:proofErr w:type="gramEnd"/>
      <w:r>
        <w:rPr>
          <w:lang w:val="cs-CZ"/>
        </w:rPr>
        <w:t xml:space="preserve"> výstavní sály</w:t>
      </w:r>
    </w:p>
    <w:p w14:paraId="655EFF5D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P – Porotní sál</w:t>
      </w:r>
    </w:p>
    <w:p w14:paraId="67C95941" w14:textId="77777777" w:rsidR="00722F92" w:rsidRDefault="00722F92" w:rsidP="00722F92">
      <w:pPr>
        <w:pStyle w:val="Odstavec"/>
        <w:numPr>
          <w:ilvl w:val="0"/>
          <w:numId w:val="12"/>
        </w:numPr>
        <w:rPr>
          <w:lang w:val="cs-CZ"/>
        </w:rPr>
      </w:pPr>
      <w:r>
        <w:rPr>
          <w:lang w:val="cs-CZ"/>
        </w:rPr>
        <w:t>Q – Galerie</w:t>
      </w:r>
    </w:p>
    <w:p w14:paraId="3271FDC3" w14:textId="77777777" w:rsidR="00722F92" w:rsidRDefault="00722F92" w:rsidP="00722F92">
      <w:pPr>
        <w:pStyle w:val="Odstavec"/>
        <w:numPr>
          <w:ilvl w:val="0"/>
          <w:numId w:val="12"/>
        </w:numPr>
        <w:jc w:val="left"/>
        <w:rPr>
          <w:lang w:val="cs-CZ"/>
        </w:rPr>
      </w:pPr>
      <w:r>
        <w:rPr>
          <w:lang w:val="cs-CZ"/>
        </w:rPr>
        <w:t>R – CCTV</w:t>
      </w:r>
    </w:p>
    <w:p w14:paraId="3E1BC2F8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Systém PZTS je provozován v těchto režimech:</w:t>
      </w:r>
    </w:p>
    <w:p w14:paraId="4A137D42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1) režim DEN:  </w:t>
      </w:r>
    </w:p>
    <w:p w14:paraId="68B92CA8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Uživatelé ovládají jednotlivé podsystémy podle potřeby. </w:t>
      </w:r>
    </w:p>
    <w:p w14:paraId="22F32783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2) režim NOC:</w:t>
      </w:r>
      <w:r>
        <w:rPr>
          <w:lang w:val="cs-CZ"/>
        </w:rPr>
        <w:tab/>
      </w:r>
    </w:p>
    <w:p w14:paraId="653F9771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Veškeré detektory PZTS v objektu jsou ve střežení. Programem ústředny lze pomocí ovládacích klávesnic překlenout dílčí celky nebo jednotlivé prvky systému.</w:t>
      </w:r>
    </w:p>
    <w:p w14:paraId="53A1B57F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3) nepřetržité střežení</w:t>
      </w:r>
    </w:p>
    <w:p w14:paraId="7DBCB51B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V nepřetržitém střežení jsou pouze tísňové hlásiče, ochrana prvků systému PZS včetně kabelového vedení.</w:t>
      </w:r>
    </w:p>
    <w:p w14:paraId="4B7CC332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Přesné nastavení jednotlivých podsystémů je uskutečněno na základě požadavků uživatele při instalaci a zprovoznění díla.</w:t>
      </w:r>
    </w:p>
    <w:p w14:paraId="0C592EB5" w14:textId="77777777" w:rsidR="00722F92" w:rsidRDefault="00722F92" w:rsidP="00722F92">
      <w:pPr>
        <w:pStyle w:val="Nadpis2"/>
      </w:pPr>
      <w:bookmarkStart w:id="30" w:name="_Toc23841579"/>
      <w:bookmarkStart w:id="31" w:name="_Toc118381186"/>
      <w:bookmarkStart w:id="32" w:name="_Toc118381558"/>
      <w:r>
        <w:t>Výstup poplachové informace</w:t>
      </w:r>
      <w:bookmarkEnd w:id="30"/>
      <w:bookmarkEnd w:id="31"/>
      <w:bookmarkEnd w:id="32"/>
    </w:p>
    <w:p w14:paraId="54618B8D" w14:textId="77777777" w:rsidR="00722F92" w:rsidRDefault="00722F92" w:rsidP="00722F92">
      <w:pPr>
        <w:pStyle w:val="Odstavec"/>
        <w:numPr>
          <w:ilvl w:val="0"/>
          <w:numId w:val="13"/>
        </w:numPr>
        <w:rPr>
          <w:lang w:val="cs-CZ"/>
        </w:rPr>
      </w:pPr>
      <w:r>
        <w:rPr>
          <w:lang w:val="cs-CZ"/>
        </w:rPr>
        <w:t>Klávesnice systému</w:t>
      </w:r>
    </w:p>
    <w:p w14:paraId="3D338A19" w14:textId="77777777" w:rsidR="00722F92" w:rsidRDefault="00722F92" w:rsidP="00722F92">
      <w:pPr>
        <w:pStyle w:val="Odstavec"/>
        <w:numPr>
          <w:ilvl w:val="0"/>
          <w:numId w:val="13"/>
        </w:numPr>
        <w:rPr>
          <w:lang w:val="cs-CZ"/>
        </w:rPr>
      </w:pPr>
      <w:r>
        <w:rPr>
          <w:lang w:val="cs-CZ"/>
        </w:rPr>
        <w:t xml:space="preserve">Pomocí ZDP na PCO PČR </w:t>
      </w:r>
    </w:p>
    <w:p w14:paraId="7D45ADCE" w14:textId="77777777" w:rsidR="00722F92" w:rsidRDefault="00722F92" w:rsidP="00722F92">
      <w:pPr>
        <w:pStyle w:val="Nadpis2"/>
      </w:pPr>
      <w:bookmarkStart w:id="33" w:name="_Toc23841580"/>
      <w:bookmarkStart w:id="34" w:name="_Toc118381187"/>
      <w:bookmarkStart w:id="35" w:name="_Toc118381559"/>
      <w:r>
        <w:lastRenderedPageBreak/>
        <w:t>Zařízení dálkového přenosu</w:t>
      </w:r>
      <w:bookmarkEnd w:id="33"/>
      <w:bookmarkEnd w:id="34"/>
      <w:bookmarkEnd w:id="35"/>
    </w:p>
    <w:p w14:paraId="7529B809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Pro přenos poplachových informací je použito stávající zálohované přenosové zařízení PZM-1.  </w:t>
      </w:r>
    </w:p>
    <w:p w14:paraId="5C862961" w14:textId="77777777" w:rsidR="00722F92" w:rsidRDefault="00722F92" w:rsidP="00722F92">
      <w:pPr>
        <w:pStyle w:val="Nadpis2"/>
      </w:pPr>
      <w:bookmarkStart w:id="36" w:name="_Toc23841581"/>
      <w:bookmarkStart w:id="37" w:name="_Toc118381188"/>
      <w:bookmarkStart w:id="38" w:name="_Toc118381560"/>
      <w:r>
        <w:t>Napájení</w:t>
      </w:r>
      <w:bookmarkEnd w:id="36"/>
      <w:bookmarkEnd w:id="37"/>
      <w:bookmarkEnd w:id="38"/>
    </w:p>
    <w:p w14:paraId="21EE4EAC" w14:textId="77777777" w:rsidR="00722F92" w:rsidRDefault="00722F92" w:rsidP="00722F92">
      <w:pPr>
        <w:pStyle w:val="Odstavec"/>
        <w:rPr>
          <w:rFonts w:cs="Tahoma"/>
          <w:szCs w:val="20"/>
          <w:lang w:val="cs-CZ"/>
        </w:rPr>
      </w:pPr>
      <w:r>
        <w:rPr>
          <w:rFonts w:cs="Tahoma"/>
          <w:szCs w:val="20"/>
          <w:lang w:val="cs-CZ"/>
        </w:rPr>
        <w:t xml:space="preserve">Zařízení pomocného zdroje je napojeno z rozvaděče umístěného v suterénu u galerie, samostatně jištěným přívodem </w:t>
      </w:r>
      <w:proofErr w:type="gramStart"/>
      <w:r>
        <w:rPr>
          <w:rFonts w:cs="Tahoma"/>
          <w:szCs w:val="20"/>
          <w:lang w:val="cs-CZ"/>
        </w:rPr>
        <w:t>6A</w:t>
      </w:r>
      <w:proofErr w:type="gramEnd"/>
      <w:r>
        <w:rPr>
          <w:rFonts w:cs="Tahoma"/>
          <w:szCs w:val="20"/>
          <w:lang w:val="cs-CZ"/>
        </w:rPr>
        <w:t xml:space="preserve"> označeným „EZS“ (řeší projekt elektro). </w:t>
      </w:r>
    </w:p>
    <w:p w14:paraId="4E4CED8E" w14:textId="77777777" w:rsidR="00722F92" w:rsidRDefault="00722F92" w:rsidP="00722F92">
      <w:pPr>
        <w:pStyle w:val="Nadpis2"/>
        <w:rPr>
          <w:rFonts w:cs="Times New Roman"/>
          <w:szCs w:val="28"/>
        </w:rPr>
      </w:pPr>
      <w:r>
        <w:t xml:space="preserve"> </w:t>
      </w:r>
      <w:bookmarkStart w:id="39" w:name="_Toc23841582"/>
      <w:bookmarkStart w:id="40" w:name="_Toc118381189"/>
      <w:bookmarkStart w:id="41" w:name="_Toc118381561"/>
      <w:r>
        <w:t>Zálohování napájení</w:t>
      </w:r>
      <w:bookmarkEnd w:id="39"/>
      <w:bookmarkEnd w:id="40"/>
      <w:bookmarkEnd w:id="41"/>
    </w:p>
    <w:p w14:paraId="78424EF4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Záložní zdroj musí odpovídat ČSN EN 50131-1 dle stupně zabezpečení. Každá část zařízení PZTS napájená ze základního zdroje, při výpadku tohoto zdroje zůstane v časově omezeném provozu z náhradního zdroje minimálně 30 hod. v pohotovostním stavu, z toho 15 min. ve stavu poplachu je-li výpadek signalizován v místě trvalé obsluhy.</w:t>
      </w:r>
      <w:bookmarkStart w:id="42" w:name="OLE_LINK2"/>
    </w:p>
    <w:p w14:paraId="22DBD5D6" w14:textId="77777777" w:rsidR="00722F92" w:rsidRDefault="00722F92" w:rsidP="00722F92">
      <w:pPr>
        <w:pStyle w:val="Odstavec"/>
        <w:rPr>
          <w:b/>
          <w:i/>
          <w:lang w:val="cs-CZ"/>
        </w:rPr>
      </w:pPr>
      <w:r>
        <w:rPr>
          <w:lang w:val="cs-CZ"/>
        </w:rPr>
        <w:t xml:space="preserve">Zálohování ústředny PZ je pomocí vestavěného akumulátoru </w:t>
      </w:r>
      <w:proofErr w:type="gramStart"/>
      <w:r>
        <w:rPr>
          <w:bCs/>
          <w:iCs/>
          <w:lang w:val="cs-CZ"/>
        </w:rPr>
        <w:t>12V</w:t>
      </w:r>
      <w:proofErr w:type="gramEnd"/>
      <w:r>
        <w:rPr>
          <w:bCs/>
          <w:iCs/>
          <w:lang w:val="cs-CZ"/>
        </w:rPr>
        <w:t>/40Ah</w:t>
      </w:r>
      <w:r>
        <w:rPr>
          <w:b/>
          <w:i/>
          <w:lang w:val="cs-CZ"/>
        </w:rPr>
        <w:t xml:space="preserve"> </w:t>
      </w:r>
      <w:r>
        <w:rPr>
          <w:bCs/>
          <w:iCs/>
          <w:lang w:val="cs-CZ"/>
        </w:rPr>
        <w:t>umístěný v krytu.</w:t>
      </w:r>
    </w:p>
    <w:bookmarkEnd w:id="42"/>
    <w:p w14:paraId="66A73B7F" w14:textId="77777777" w:rsidR="00722F92" w:rsidRDefault="00722F92" w:rsidP="00722F92">
      <w:pPr>
        <w:pStyle w:val="Nadpis2"/>
        <w:rPr>
          <w:i/>
        </w:rPr>
      </w:pPr>
      <w:r>
        <w:t xml:space="preserve"> </w:t>
      </w:r>
      <w:bookmarkStart w:id="43" w:name="_Toc23841583"/>
      <w:bookmarkStart w:id="44" w:name="_Toc118381190"/>
      <w:bookmarkStart w:id="45" w:name="_Toc118381562"/>
      <w:r>
        <w:t>Rozvody</w:t>
      </w:r>
      <w:bookmarkEnd w:id="43"/>
      <w:bookmarkEnd w:id="44"/>
      <w:bookmarkEnd w:id="45"/>
    </w:p>
    <w:p w14:paraId="38A25F4A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Stávající kabelové rozvody v lištovém provedení budou demontovány a ekologicky zlikvidovány. Demontáž bude prováděna s ohledem na požadavek udržení provozu v prostorách muzea a galerie. Nová kabeláž bude realizována zasekáním pod omítku. </w:t>
      </w:r>
    </w:p>
    <w:p w14:paraId="482E5FCA" w14:textId="77777777" w:rsidR="00722F92" w:rsidRDefault="00722F92" w:rsidP="00722F92">
      <w:pPr>
        <w:pStyle w:val="Odstavec"/>
        <w:rPr>
          <w:lang w:val="cs-CZ" w:eastAsia="en-US"/>
        </w:rPr>
      </w:pPr>
      <w:r>
        <w:rPr>
          <w:lang w:val="cs-CZ" w:eastAsia="en-US"/>
        </w:rPr>
        <w:t>Pro rozvody k jednotlivým čidlům je použit stíněný šesti žilový kabel pro PZTS. Pro datovou linku pak stíněný datový kabel FTP a vodič 2x1,5 pro napájení.</w:t>
      </w:r>
    </w:p>
    <w:p w14:paraId="4395346E" w14:textId="77777777" w:rsidR="00722F92" w:rsidRDefault="00722F92" w:rsidP="00722F92">
      <w:pPr>
        <w:pStyle w:val="Nadpis1"/>
      </w:pPr>
      <w:bookmarkStart w:id="46" w:name="_Toc23841584"/>
      <w:bookmarkStart w:id="47" w:name="_Toc118381191"/>
      <w:bookmarkStart w:id="48" w:name="_Toc118381563"/>
      <w:r>
        <w:t>Technická zpráva CCTV</w:t>
      </w:r>
      <w:bookmarkEnd w:id="46"/>
      <w:bookmarkEnd w:id="47"/>
      <w:bookmarkEnd w:id="48"/>
    </w:p>
    <w:p w14:paraId="4E0925A5" w14:textId="77777777" w:rsidR="00722F92" w:rsidRDefault="00722F92" w:rsidP="00722F92">
      <w:pPr>
        <w:pStyle w:val="Nadpis2"/>
      </w:pPr>
      <w:bookmarkStart w:id="49" w:name="_Toc23841585"/>
      <w:bookmarkStart w:id="50" w:name="_Toc118381192"/>
      <w:bookmarkStart w:id="51" w:name="_Toc118381564"/>
      <w:r>
        <w:t>Technické řešení</w:t>
      </w:r>
      <w:bookmarkEnd w:id="49"/>
      <w:bookmarkEnd w:id="50"/>
      <w:bookmarkEnd w:id="51"/>
    </w:p>
    <w:p w14:paraId="4FF601EF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Systém CCTV navržený v tomto projektu bude samostatně sloužit pro zajištění monitorování a záznamu obrazové informace ze zájmových oblastí z místností expozice v 2.NP budovy muzea a galerie a bude funkčně přepojen ze stávajícího systému CCTV. </w:t>
      </w:r>
    </w:p>
    <w:p w14:paraId="2BB5033E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Jádrem systému CCTV bude nové záznamové zařízení, do kterého budou připojeny nové IP kamery ve více megapixelovém provedení, které budou snímat obrazovou informaci ze zájmových oblastí v místnostech expozice a prostřednictvím digitálního rozvodu IP Ethernet bude obrazová informace z kamer přenášena datovými kabely do záznamového zařízení.</w:t>
      </w:r>
    </w:p>
    <w:p w14:paraId="5A4A3E0F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Záznamové zařízení systému CCTV bude instalováno v prostorách recepce.</w:t>
      </w:r>
    </w:p>
    <w:p w14:paraId="6D3BABCD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Systém CCTV bude adresný, každá kamera bude disponovat vlastní adresou v systému. Programovým vybavením a nastavením software kamerového systému jsou dány globální funkční vlastnosti jednotlivých částí systému CCTV.</w:t>
      </w:r>
    </w:p>
    <w:p w14:paraId="253AB5F6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Umístění jednotlivých prvků je zřejmé z půdorysných výkresů. Při instalaci systému je nutné dbát na koordinaci pozic prvků s expozicemi a s ostatními systémy.</w:t>
      </w:r>
    </w:p>
    <w:p w14:paraId="586353CA" w14:textId="77777777" w:rsidR="00722F92" w:rsidRDefault="00722F92" w:rsidP="00722F92">
      <w:pPr>
        <w:pStyle w:val="Default"/>
        <w:ind w:firstLine="709"/>
        <w:jc w:val="both"/>
        <w:rPr>
          <w:rFonts w:ascii="Tahoma" w:hAnsi="Tahoma" w:cs="Tahoma"/>
          <w:color w:val="auto"/>
          <w:sz w:val="20"/>
          <w:szCs w:val="20"/>
        </w:rPr>
      </w:pPr>
      <w:r>
        <w:rPr>
          <w:rFonts w:ascii="Tahoma" w:hAnsi="Tahoma" w:cs="Tahoma"/>
          <w:color w:val="auto"/>
          <w:sz w:val="20"/>
          <w:szCs w:val="20"/>
        </w:rPr>
        <w:t>Systém CCTV bude tvořen IP kamerami v DOME provedení. Přesná poloha kamer bude při realizaci stanovena kamerovou zkouškou dle potřeby sledované scény v daném prostoru.</w:t>
      </w:r>
    </w:p>
    <w:p w14:paraId="759259C6" w14:textId="77777777" w:rsidR="00722F92" w:rsidRDefault="00722F92" w:rsidP="00722F92">
      <w:pPr>
        <w:pStyle w:val="Default"/>
        <w:ind w:firstLine="709"/>
        <w:jc w:val="both"/>
        <w:rPr>
          <w:rFonts w:ascii="Tahoma" w:hAnsi="Tahoma" w:cs="Tahoma"/>
          <w:color w:val="auto"/>
          <w:sz w:val="20"/>
          <w:szCs w:val="20"/>
        </w:rPr>
      </w:pPr>
      <w:r>
        <w:rPr>
          <w:rFonts w:ascii="Tahoma" w:hAnsi="Tahoma" w:cs="Tahoma"/>
          <w:color w:val="auto"/>
          <w:sz w:val="20"/>
          <w:szCs w:val="20"/>
        </w:rPr>
        <w:t xml:space="preserve">Protože se jedná o budoucí prostory přístupné veřejnosti včetně uvažované přítomnosti dětí, budou kamery v provedení </w:t>
      </w:r>
      <w:proofErr w:type="spellStart"/>
      <w:r>
        <w:rPr>
          <w:rFonts w:ascii="Tahoma" w:hAnsi="Tahoma" w:cs="Tahoma"/>
          <w:color w:val="auto"/>
          <w:sz w:val="20"/>
          <w:szCs w:val="20"/>
        </w:rPr>
        <w:t>antivandal</w:t>
      </w:r>
      <w:proofErr w:type="spellEnd"/>
      <w:r>
        <w:rPr>
          <w:rFonts w:ascii="Tahoma" w:hAnsi="Tahoma" w:cs="Tahoma"/>
          <w:color w:val="auto"/>
          <w:sz w:val="20"/>
          <w:szCs w:val="20"/>
        </w:rPr>
        <w:t xml:space="preserve">. </w:t>
      </w:r>
    </w:p>
    <w:p w14:paraId="0A8B08A1" w14:textId="77777777" w:rsidR="00722F92" w:rsidRDefault="00722F92" w:rsidP="00722F92">
      <w:pPr>
        <w:pStyle w:val="Nadpis2"/>
        <w:rPr>
          <w:rFonts w:ascii="Tahoma" w:hAnsi="Tahoma" w:cs="Times New Roman"/>
          <w:sz w:val="24"/>
          <w:szCs w:val="28"/>
        </w:rPr>
      </w:pPr>
      <w:bookmarkStart w:id="52" w:name="_Toc23841586"/>
      <w:bookmarkStart w:id="53" w:name="_Toc118381193"/>
      <w:bookmarkStart w:id="54" w:name="_Toc118381565"/>
      <w:r>
        <w:lastRenderedPageBreak/>
        <w:t>Napájení</w:t>
      </w:r>
      <w:bookmarkEnd w:id="52"/>
      <w:bookmarkEnd w:id="53"/>
      <w:bookmarkEnd w:id="54"/>
    </w:p>
    <w:p w14:paraId="12D6BA2B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Kamery systému CCTV budou k záznamovému zařízení systému CCTV připojeny pevnými vodiči datovou sítí LAN CCTV prostřednictvím datového switche s integrovaným </w:t>
      </w:r>
      <w:proofErr w:type="spellStart"/>
      <w:r>
        <w:rPr>
          <w:rFonts w:ascii="Tahoma" w:hAnsi="Tahoma" w:cs="Tahoma"/>
          <w:sz w:val="20"/>
          <w:szCs w:val="20"/>
        </w:rPr>
        <w:t>PoE</w:t>
      </w:r>
      <w:proofErr w:type="spellEnd"/>
      <w:r>
        <w:rPr>
          <w:rFonts w:ascii="Tahoma" w:hAnsi="Tahoma" w:cs="Tahoma"/>
          <w:sz w:val="20"/>
          <w:szCs w:val="20"/>
        </w:rPr>
        <w:t xml:space="preserve"> napájením. Switch bude instalován v prostoru recepce 2.NP objektu.</w:t>
      </w:r>
    </w:p>
    <w:p w14:paraId="52B0C781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color w:val="auto"/>
          <w:sz w:val="20"/>
          <w:szCs w:val="20"/>
        </w:rPr>
      </w:pPr>
      <w:r>
        <w:rPr>
          <w:rFonts w:ascii="Tahoma" w:hAnsi="Tahoma" w:cs="Tahoma"/>
          <w:color w:val="auto"/>
          <w:sz w:val="20"/>
          <w:szCs w:val="20"/>
        </w:rPr>
        <w:t xml:space="preserve">Napájení zdrojů systému CCTV bude provedeno připojením do systémové přípojnice </w:t>
      </w:r>
      <w:proofErr w:type="gramStart"/>
      <w:r>
        <w:rPr>
          <w:rFonts w:ascii="Tahoma" w:hAnsi="Tahoma" w:cs="Tahoma"/>
          <w:color w:val="auto"/>
          <w:sz w:val="20"/>
          <w:szCs w:val="20"/>
        </w:rPr>
        <w:t>230V</w:t>
      </w:r>
      <w:proofErr w:type="gramEnd"/>
      <w:r>
        <w:rPr>
          <w:rFonts w:ascii="Tahoma" w:hAnsi="Tahoma" w:cs="Tahoma"/>
          <w:color w:val="auto"/>
          <w:sz w:val="20"/>
          <w:szCs w:val="20"/>
        </w:rPr>
        <w:t xml:space="preserve">. K zajištění napájení kamer systému CCTV bude využit zdroj </w:t>
      </w:r>
      <w:proofErr w:type="spellStart"/>
      <w:r>
        <w:rPr>
          <w:rFonts w:ascii="Tahoma" w:hAnsi="Tahoma" w:cs="Tahoma"/>
          <w:color w:val="auto"/>
          <w:sz w:val="20"/>
          <w:szCs w:val="20"/>
        </w:rPr>
        <w:t>PoE</w:t>
      </w:r>
      <w:proofErr w:type="spellEnd"/>
      <w:r>
        <w:rPr>
          <w:rFonts w:ascii="Tahoma" w:hAnsi="Tahoma" w:cs="Tahoma"/>
          <w:color w:val="auto"/>
          <w:sz w:val="20"/>
          <w:szCs w:val="20"/>
        </w:rPr>
        <w:t xml:space="preserve"> integrovaný uvnitř instalovaného datového přepínače Switch </w:t>
      </w:r>
      <w:proofErr w:type="spellStart"/>
      <w:r>
        <w:rPr>
          <w:rFonts w:ascii="Tahoma" w:hAnsi="Tahoma" w:cs="Tahoma"/>
          <w:color w:val="auto"/>
          <w:sz w:val="20"/>
          <w:szCs w:val="20"/>
        </w:rPr>
        <w:t>PoE</w:t>
      </w:r>
      <w:proofErr w:type="spellEnd"/>
      <w:r>
        <w:rPr>
          <w:rFonts w:ascii="Tahoma" w:hAnsi="Tahoma" w:cs="Tahoma"/>
          <w:color w:val="auto"/>
          <w:sz w:val="20"/>
          <w:szCs w:val="20"/>
        </w:rPr>
        <w:t xml:space="preserve">. </w:t>
      </w:r>
    </w:p>
    <w:p w14:paraId="62E28F6E" w14:textId="77777777" w:rsidR="00722F92" w:rsidRDefault="00722F92" w:rsidP="00722F92">
      <w:pPr>
        <w:pStyle w:val="Default"/>
        <w:jc w:val="both"/>
        <w:rPr>
          <w:rFonts w:ascii="Tahoma" w:hAnsi="Tahoma" w:cs="Tahoma"/>
          <w:color w:val="auto"/>
          <w:sz w:val="20"/>
          <w:szCs w:val="20"/>
        </w:rPr>
      </w:pPr>
      <w:r>
        <w:rPr>
          <w:rFonts w:ascii="Tahoma" w:hAnsi="Tahoma" w:cs="Tahoma"/>
          <w:color w:val="auto"/>
          <w:sz w:val="20"/>
          <w:szCs w:val="20"/>
        </w:rPr>
        <w:t xml:space="preserve">Pro zajištění časově omezeného provozu v případě výpadku sítě bude systém CCTV vybaven vlastními náhradními zdroji – záložním zdrojem UPS. </w:t>
      </w:r>
    </w:p>
    <w:p w14:paraId="28A55A8F" w14:textId="77777777" w:rsidR="00722F92" w:rsidRDefault="00722F92" w:rsidP="00722F92">
      <w:pPr>
        <w:pStyle w:val="Nadpis2"/>
        <w:rPr>
          <w:rFonts w:ascii="Tahoma" w:hAnsi="Tahoma" w:cs="Times New Roman"/>
          <w:sz w:val="24"/>
          <w:szCs w:val="28"/>
        </w:rPr>
      </w:pPr>
      <w:bookmarkStart w:id="55" w:name="_Toc23841587"/>
      <w:bookmarkStart w:id="56" w:name="_Toc118381194"/>
      <w:bookmarkStart w:id="57" w:name="_Toc118381566"/>
      <w:r>
        <w:t>Vedení</w:t>
      </w:r>
      <w:bookmarkEnd w:id="55"/>
      <w:bookmarkEnd w:id="56"/>
      <w:bookmarkEnd w:id="57"/>
    </w:p>
    <w:p w14:paraId="6A8FF37E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Kabelové vedení UTP cat.5e bude instalována do stěny pod omítku namísto stávajících kabelů KOAX, které jsou instalovány v lištách a budou demontovány.</w:t>
      </w:r>
    </w:p>
    <w:p w14:paraId="2F7D16EB" w14:textId="77777777" w:rsidR="00722F92" w:rsidRDefault="00722F92" w:rsidP="00722F92">
      <w:pPr>
        <w:pStyle w:val="Nadpis2"/>
        <w:rPr>
          <w:rFonts w:ascii="Tahoma" w:hAnsi="Tahoma" w:cs="Times New Roman"/>
          <w:sz w:val="24"/>
          <w:szCs w:val="28"/>
        </w:rPr>
      </w:pPr>
      <w:bookmarkStart w:id="58" w:name="_Toc23841588"/>
      <w:bookmarkStart w:id="59" w:name="_Toc118381195"/>
      <w:bookmarkStart w:id="60" w:name="_Toc118381567"/>
      <w:r>
        <w:t>Záznamové zařízení</w:t>
      </w:r>
      <w:bookmarkEnd w:id="58"/>
      <w:bookmarkEnd w:id="59"/>
      <w:bookmarkEnd w:id="60"/>
    </w:p>
    <w:p w14:paraId="6CE50FA8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Pro záznam obrazové informace z kamer systému CCTV instalováno záznamové zařízení, které bude zajišťovat pořizování záznamu obrazové informace z kamer z prostor expozice, řízení a vyhodnocení událostí systému CCTV, dohledové funkce a administraci záznamu. </w:t>
      </w:r>
    </w:p>
    <w:p w14:paraId="2A969B84" w14:textId="77777777" w:rsidR="00722F92" w:rsidRDefault="00722F92" w:rsidP="00722F92">
      <w:pPr>
        <w:pStyle w:val="Default"/>
        <w:ind w:firstLine="57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Záznam obrazové informace ze všech kamer je ukládán na záznamové disky HDD instalované uvnitř záznamového zařízení. Záznamovou kapacitu lze doplněním HDD rozšířit.</w:t>
      </w:r>
    </w:p>
    <w:p w14:paraId="6ED8D79D" w14:textId="77777777" w:rsidR="00722F92" w:rsidRDefault="00722F92" w:rsidP="00722F92">
      <w:pPr>
        <w:pStyle w:val="Default"/>
        <w:ind w:firstLine="576"/>
        <w:rPr>
          <w:rFonts w:ascii="Tahoma" w:hAnsi="Tahoma" w:cs="Tahoma"/>
          <w:color w:val="auto"/>
          <w:sz w:val="20"/>
          <w:szCs w:val="20"/>
        </w:rPr>
      </w:pPr>
      <w:r>
        <w:rPr>
          <w:rFonts w:ascii="Tahoma" w:hAnsi="Tahoma" w:cs="Tahoma"/>
          <w:color w:val="auto"/>
          <w:sz w:val="20"/>
          <w:szCs w:val="20"/>
        </w:rPr>
        <w:t xml:space="preserve">V místnosti recepce a ředitelství 2.NP objektu bude vybudováno dohledové pracoviště CCTV, které bude tvořeno sestavou LCD monitoru s úhlopříčkou 27“ a ovládací klávesnicí s myší instalovaným na pracovním stole recepce a ředitelství. </w:t>
      </w:r>
    </w:p>
    <w:p w14:paraId="0FD498E0" w14:textId="77777777" w:rsidR="00722F92" w:rsidRDefault="00722F92" w:rsidP="00722F92">
      <w:pPr>
        <w:pStyle w:val="Default"/>
        <w:ind w:firstLine="576"/>
        <w:rPr>
          <w:lang w:eastAsia="en-US"/>
        </w:rPr>
      </w:pPr>
      <w:r>
        <w:rPr>
          <w:rFonts w:ascii="Tahoma" w:hAnsi="Tahoma" w:cs="Tahoma"/>
          <w:color w:val="auto"/>
          <w:sz w:val="20"/>
          <w:szCs w:val="20"/>
        </w:rPr>
        <w:t>Sestava klientského pracoviště musí obsahovat vše potřebné pro ovládání a dohled kamerového systému, v provedení dle doporučení daného výrobce CCTV.</w:t>
      </w:r>
    </w:p>
    <w:p w14:paraId="69F98025" w14:textId="77777777" w:rsidR="00722F92" w:rsidRDefault="00722F92" w:rsidP="00722F92">
      <w:pPr>
        <w:pStyle w:val="Nadpis1"/>
      </w:pPr>
      <w:bookmarkStart w:id="61" w:name="_Toc23841589"/>
      <w:bookmarkStart w:id="62" w:name="_Toc118381196"/>
      <w:bookmarkStart w:id="63" w:name="_Toc118381568"/>
      <w:r>
        <w:t>Společná ustanovení</w:t>
      </w:r>
      <w:bookmarkEnd w:id="61"/>
      <w:bookmarkEnd w:id="62"/>
      <w:bookmarkEnd w:id="63"/>
    </w:p>
    <w:p w14:paraId="23B6032E" w14:textId="77777777" w:rsidR="00722F92" w:rsidRDefault="00722F92" w:rsidP="00722F92">
      <w:pPr>
        <w:pStyle w:val="Nadpis2"/>
      </w:pPr>
      <w:bookmarkStart w:id="64" w:name="_Toc23841590"/>
      <w:bookmarkStart w:id="65" w:name="_Toc118381197"/>
      <w:bookmarkStart w:id="66" w:name="_Toc118381569"/>
      <w:r>
        <w:t>Zkušební provoz</w:t>
      </w:r>
      <w:bookmarkEnd w:id="64"/>
      <w:bookmarkEnd w:id="65"/>
      <w:bookmarkEnd w:id="66"/>
    </w:p>
    <w:p w14:paraId="18A4B93B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Po provedení výchozí revize a před uvedením zařízení do trvalého provozu bude zařízení podrobeno </w:t>
      </w:r>
      <w:r>
        <w:rPr>
          <w:b/>
          <w:lang w:val="cs-CZ"/>
        </w:rPr>
        <w:t xml:space="preserve">čtrnáctidennímu </w:t>
      </w:r>
      <w:r>
        <w:rPr>
          <w:lang w:val="cs-CZ"/>
        </w:rPr>
        <w:t xml:space="preserve">zkušebnímu provozu. Během zkušebního provozu bude kontrolováno: provoz na síť </w:t>
      </w:r>
      <w:r>
        <w:rPr>
          <w:lang w:val="cs-CZ"/>
        </w:rPr>
        <w:noBreakHyphen/>
        <w:t xml:space="preserve"> četnost zaznamenaných poplachů, falešných poplachů </w:t>
      </w:r>
      <w:r>
        <w:rPr>
          <w:lang w:val="cs-CZ"/>
        </w:rPr>
        <w:noBreakHyphen/>
        <w:t xml:space="preserve"> provoz 12 hodin na záložní zdroj </w:t>
      </w:r>
      <w:r>
        <w:rPr>
          <w:lang w:val="cs-CZ"/>
        </w:rPr>
        <w:noBreakHyphen/>
        <w:t xml:space="preserve"> kontrola akumulátorů </w:t>
      </w:r>
      <w:r>
        <w:rPr>
          <w:lang w:val="cs-CZ"/>
        </w:rPr>
        <w:noBreakHyphen/>
        <w:t xml:space="preserve"> kontrola činnosti detektorů.</w:t>
      </w:r>
    </w:p>
    <w:p w14:paraId="0262C4C9" w14:textId="77777777" w:rsidR="00722F92" w:rsidRDefault="00722F92" w:rsidP="00722F92">
      <w:pPr>
        <w:pStyle w:val="Nadpis2"/>
      </w:pPr>
      <w:bookmarkStart w:id="67" w:name="_Toc23841591"/>
      <w:bookmarkStart w:id="68" w:name="_Toc118381198"/>
      <w:bookmarkStart w:id="69" w:name="_Toc118381570"/>
      <w:r>
        <w:t>Pokyny pro pracovníky provádějící revize</w:t>
      </w:r>
      <w:bookmarkEnd w:id="67"/>
      <w:bookmarkEnd w:id="68"/>
      <w:bookmarkEnd w:id="69"/>
    </w:p>
    <w:p w14:paraId="2223F6EA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Výchozí revize bude obsahovat:</w:t>
      </w:r>
    </w:p>
    <w:p w14:paraId="58C422B6" w14:textId="77777777" w:rsidR="00722F92" w:rsidRDefault="00722F92" w:rsidP="00722F92">
      <w:pPr>
        <w:pStyle w:val="Odstavec"/>
        <w:numPr>
          <w:ilvl w:val="0"/>
          <w:numId w:val="14"/>
        </w:numPr>
        <w:rPr>
          <w:lang w:val="cs-CZ"/>
        </w:rPr>
      </w:pPr>
      <w:r>
        <w:rPr>
          <w:lang w:val="cs-CZ"/>
        </w:rPr>
        <w:t>elektrická bezpečnost dle ČSN 33 2000-4-41 ed.2</w:t>
      </w:r>
    </w:p>
    <w:p w14:paraId="77747755" w14:textId="77777777" w:rsidR="00722F92" w:rsidRDefault="00722F92" w:rsidP="00722F92">
      <w:pPr>
        <w:pStyle w:val="Odstavec"/>
        <w:numPr>
          <w:ilvl w:val="0"/>
          <w:numId w:val="14"/>
        </w:numPr>
        <w:rPr>
          <w:lang w:val="cs-CZ"/>
        </w:rPr>
      </w:pPr>
      <w:r>
        <w:rPr>
          <w:lang w:val="cs-CZ"/>
        </w:rPr>
        <w:t>funkčnost</w:t>
      </w:r>
    </w:p>
    <w:p w14:paraId="4A12E234" w14:textId="77777777" w:rsidR="00722F92" w:rsidRDefault="00722F92" w:rsidP="00722F92">
      <w:pPr>
        <w:pStyle w:val="Odstavec"/>
        <w:numPr>
          <w:ilvl w:val="0"/>
          <w:numId w:val="14"/>
        </w:numPr>
        <w:rPr>
          <w:lang w:val="cs-CZ"/>
        </w:rPr>
      </w:pPr>
      <w:r>
        <w:rPr>
          <w:lang w:val="cs-CZ"/>
        </w:rPr>
        <w:t>souhlasnost se schváleným projektem</w:t>
      </w:r>
    </w:p>
    <w:p w14:paraId="517CB523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Pravidelné periodické revize systému a servis budou prováděny podle doporučení ČSN CLC/TS 50131-7, nebo podle smlouvy o záručním a pozáručním servisu.</w:t>
      </w:r>
    </w:p>
    <w:p w14:paraId="383DEE29" w14:textId="77777777" w:rsidR="00722F92" w:rsidRDefault="00722F92" w:rsidP="00722F92">
      <w:pPr>
        <w:pStyle w:val="Nadpis2"/>
      </w:pPr>
      <w:bookmarkStart w:id="70" w:name="_Toc23841592"/>
      <w:bookmarkStart w:id="71" w:name="_Toc118381199"/>
      <w:bookmarkStart w:id="72" w:name="_Toc118381571"/>
      <w:r>
        <w:lastRenderedPageBreak/>
        <w:t>Pravidelná kontrola a údržba</w:t>
      </w:r>
      <w:bookmarkEnd w:id="70"/>
      <w:bookmarkEnd w:id="71"/>
      <w:bookmarkEnd w:id="72"/>
    </w:p>
    <w:p w14:paraId="3AE66AB2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 xml:space="preserve">Pro spolehlivý provoz celého zabezpečovacího zařízení bude zajištěna pravidelná kontrola, </w:t>
      </w:r>
      <w:proofErr w:type="gramStart"/>
      <w:r>
        <w:rPr>
          <w:lang w:val="cs-CZ"/>
        </w:rPr>
        <w:t>t.j.</w:t>
      </w:r>
      <w:proofErr w:type="gramEnd"/>
      <w:r>
        <w:rPr>
          <w:lang w:val="cs-CZ"/>
        </w:rPr>
        <w:t xml:space="preserve"> pravidelné zkoušení prvků zabezpečovacího zařízení. Při předávání za</w:t>
      </w:r>
      <w:r>
        <w:rPr>
          <w:lang w:val="cs-CZ"/>
        </w:rPr>
        <w:softHyphen/>
        <w:t xml:space="preserve">řízení do provozu provede dodavatel zaškolení obsluhy a předá návody na obsluhu zařízení.  </w:t>
      </w:r>
    </w:p>
    <w:p w14:paraId="3497F34D" w14:textId="77777777" w:rsidR="00722F92" w:rsidRDefault="00722F92" w:rsidP="00722F92">
      <w:pPr>
        <w:pStyle w:val="Nadpis2"/>
      </w:pPr>
      <w:bookmarkStart w:id="73" w:name="_Toc23841593"/>
      <w:bookmarkStart w:id="74" w:name="_Toc118381200"/>
      <w:bookmarkStart w:id="75" w:name="_Toc118381572"/>
      <w:r>
        <w:t>Závěrečná ustanovení</w:t>
      </w:r>
      <w:bookmarkEnd w:id="73"/>
      <w:bookmarkEnd w:id="74"/>
      <w:bookmarkEnd w:id="75"/>
    </w:p>
    <w:p w14:paraId="445D9322" w14:textId="77777777" w:rsidR="00722F92" w:rsidRDefault="00722F92" w:rsidP="00722F92">
      <w:pPr>
        <w:pStyle w:val="Odstavec"/>
        <w:rPr>
          <w:lang w:val="cs-CZ"/>
        </w:rPr>
      </w:pPr>
      <w:r>
        <w:rPr>
          <w:lang w:val="cs-CZ"/>
        </w:rPr>
        <w:t>Všechny ostatní podrobnosti, které nejsou uvedeny v této technické zprávě, jsou patrné z výkresové dokumentace.</w:t>
      </w:r>
    </w:p>
    <w:p w14:paraId="54E2681A" w14:textId="77777777" w:rsidR="00722F92" w:rsidRDefault="00722F92" w:rsidP="00722F92">
      <w:pPr>
        <w:pStyle w:val="Odstavec"/>
        <w:rPr>
          <w:lang w:val="cs-CZ" w:eastAsia="en-US"/>
        </w:rPr>
      </w:pPr>
    </w:p>
    <w:p w14:paraId="4826C92A" w14:textId="5D8DD896" w:rsidR="003E7C00" w:rsidRPr="003E7C00" w:rsidRDefault="003E7C00" w:rsidP="00722F92">
      <w:pPr>
        <w:pStyle w:val="Nadpis1"/>
        <w:numPr>
          <w:ilvl w:val="0"/>
          <w:numId w:val="0"/>
        </w:numPr>
        <w:ind w:left="431"/>
      </w:pPr>
    </w:p>
    <w:sectPr w:rsidR="003E7C00" w:rsidRPr="003E7C00" w:rsidSect="00DC7E1F">
      <w:headerReference w:type="default" r:id="rId10"/>
      <w:footerReference w:type="default" r:id="rId11"/>
      <w:headerReference w:type="first" r:id="rId12"/>
      <w:pgSz w:w="11906" w:h="16838" w:code="9"/>
      <w:pgMar w:top="-1418" w:right="1418" w:bottom="1701" w:left="1418" w:header="709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1D15DF" w14:textId="77777777" w:rsidR="001A16FC" w:rsidRDefault="001A16FC" w:rsidP="004010A7">
      <w:pPr>
        <w:spacing w:line="240" w:lineRule="auto"/>
      </w:pPr>
      <w:r>
        <w:separator/>
      </w:r>
    </w:p>
  </w:endnote>
  <w:endnote w:type="continuationSeparator" w:id="0">
    <w:p w14:paraId="51371BB4" w14:textId="77777777" w:rsidR="001A16FC" w:rsidRDefault="001A16FC" w:rsidP="004010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95676932"/>
      <w:docPartObj>
        <w:docPartGallery w:val="Page Numbers (Bottom of Page)"/>
        <w:docPartUnique/>
      </w:docPartObj>
    </w:sdtPr>
    <w:sdtContent>
      <w:sdt>
        <w:sdtPr>
          <w:id w:val="-1705238520"/>
          <w:docPartObj>
            <w:docPartGallery w:val="Page Numbers (Top of Page)"/>
            <w:docPartUnique/>
          </w:docPartObj>
        </w:sdtPr>
        <w:sdtContent>
          <w:p w14:paraId="49B7544A" w14:textId="77777777" w:rsidR="00524801" w:rsidRPr="0022003D" w:rsidRDefault="00524801" w:rsidP="0052480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drawing>
                <wp:anchor distT="0" distB="0" distL="114300" distR="114300" simplePos="0" relativeHeight="251665408" behindDoc="1" locked="0" layoutInCell="1" allowOverlap="1" wp14:anchorId="6563E799" wp14:editId="44B8D064">
                  <wp:simplePos x="0" y="0"/>
                  <wp:positionH relativeFrom="page">
                    <wp:posOffset>450376</wp:posOffset>
                  </wp:positionH>
                  <wp:positionV relativeFrom="paragraph">
                    <wp:posOffset>-2964929</wp:posOffset>
                  </wp:positionV>
                  <wp:extent cx="7108784" cy="2750820"/>
                  <wp:effectExtent l="0" t="0" r="0" b="0"/>
                  <wp:wrapNone/>
                  <wp:docPr id="80" name="Obrázek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08784" cy="275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Trade FIDES, a.s. </w:t>
            </w:r>
            <w:r w:rsidRPr="0022003D">
              <w:rPr>
                <w:rStyle w:val="Siln"/>
                <w:rFonts w:ascii="Verdana" w:hAnsi="Verdana"/>
                <w:color w:val="262626" w:themeColor="text1" w:themeTint="D9"/>
                <w:sz w:val="12"/>
                <w:szCs w:val="12"/>
                <w:shd w:val="clear" w:color="auto" w:fill="FFFFFF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Dornych 57, 617 00 Brno </w:t>
            </w:r>
            <w:r w:rsidRPr="0022003D">
              <w:rPr>
                <w:rStyle w:val="Siln"/>
                <w:rFonts w:ascii="Verdana" w:hAnsi="Verdana"/>
                <w:color w:val="262626" w:themeColor="text1" w:themeTint="D9"/>
                <w:sz w:val="12"/>
                <w:szCs w:val="12"/>
                <w:shd w:val="clear" w:color="auto" w:fill="FFFFFF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IČ: 61974731 </w:t>
            </w:r>
            <w:r w:rsidRPr="0022003D">
              <w:rPr>
                <w:rStyle w:val="Siln"/>
                <w:rFonts w:ascii="Verdana" w:hAnsi="Verdana"/>
                <w:color w:val="262626" w:themeColor="text1" w:themeTint="D9"/>
                <w:sz w:val="12"/>
                <w:szCs w:val="12"/>
                <w:shd w:val="clear" w:color="auto" w:fill="FFFFFF"/>
              </w:rPr>
              <w:t xml:space="preserve">• 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>DIČ: CZ61974731</w:t>
            </w:r>
          </w:p>
          <w:p w14:paraId="19297F37" w14:textId="77777777" w:rsidR="00524801" w:rsidRPr="0022003D" w:rsidRDefault="00524801" w:rsidP="0052480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bankovní spojení: KB, č. ú.: 6987310257/0100 </w:t>
            </w:r>
            <w:r w:rsidRPr="0022003D">
              <w:rPr>
                <w:rStyle w:val="Siln"/>
                <w:rFonts w:ascii="Verdana" w:hAnsi="Verdana"/>
                <w:color w:val="262626" w:themeColor="text1" w:themeTint="D9"/>
                <w:sz w:val="12"/>
                <w:szCs w:val="12"/>
                <w:shd w:val="clear" w:color="auto" w:fill="FFFFFF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zápis v OR u KS v Brně, oddíl B, vl. 2988</w:t>
            </w:r>
          </w:p>
          <w:p w14:paraId="68021CC5" w14:textId="4BEC7073" w:rsidR="00524801" w:rsidRPr="0022003D" w:rsidRDefault="00524801" w:rsidP="0052480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tel.: +420 545 536 111 </w:t>
            </w:r>
            <w:r w:rsidRPr="0022003D">
              <w:rPr>
                <w:rFonts w:cs="Arial"/>
                <w:b/>
                <w:bCs/>
                <w:noProof/>
                <w:color w:val="262626" w:themeColor="text1" w:themeTint="D9"/>
                <w:szCs w:val="16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e-mail: info@fides.cz </w:t>
            </w:r>
            <w:r w:rsidRPr="0022003D">
              <w:rPr>
                <w:rFonts w:cs="Arial"/>
                <w:b/>
                <w:bCs/>
                <w:noProof/>
                <w:color w:val="262626" w:themeColor="text1" w:themeTint="D9"/>
                <w:szCs w:val="16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www.fides.cz</w:t>
            </w:r>
          </w:p>
          <w:p w14:paraId="4A8CFA51" w14:textId="3B22059B" w:rsidR="00524801" w:rsidRPr="0022003D" w:rsidRDefault="00524801" w:rsidP="0052480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</w:p>
          <w:p w14:paraId="46013467" w14:textId="3416AFD2" w:rsidR="00524801" w:rsidRDefault="00524801" w:rsidP="00524801">
            <w:pPr>
              <w:pStyle w:val="Zpat"/>
              <w:jc w:val="center"/>
            </w:pPr>
            <w:r w:rsidRPr="0022003D">
              <w:rPr>
                <w:rFonts w:ascii="Verdana" w:hAnsi="Verdana"/>
                <w:color w:val="262626" w:themeColor="text1" w:themeTint="D9"/>
              </w:rPr>
              <w:t xml:space="preserve">Stránka 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begin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instrText>PAGE</w:instrTex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separate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t>2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end"/>
            </w:r>
            <w:r w:rsidRPr="0022003D">
              <w:rPr>
                <w:rFonts w:ascii="Verdana" w:hAnsi="Verdana"/>
                <w:color w:val="262626" w:themeColor="text1" w:themeTint="D9"/>
              </w:rPr>
              <w:t xml:space="preserve"> z 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begin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instrText>NUMPAGES</w:instrTex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separate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t>2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end"/>
            </w:r>
          </w:p>
        </w:sdtContent>
      </w:sdt>
    </w:sdtContent>
  </w:sdt>
  <w:p w14:paraId="5CE71E91" w14:textId="77777777" w:rsidR="00000000" w:rsidRDefault="00000000"/>
  <w:p w14:paraId="4D9EB851" w14:textId="77777777" w:rsidR="00000000" w:rsidRDefault="00000000"/>
  <w:p w14:paraId="09E7EB5B" w14:textId="77777777" w:rsidR="00000000" w:rsidRDefault="0000000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1E8CCB" w14:textId="77777777" w:rsidR="001A16FC" w:rsidRDefault="001A16FC" w:rsidP="004010A7">
      <w:pPr>
        <w:spacing w:line="240" w:lineRule="auto"/>
      </w:pPr>
      <w:r>
        <w:separator/>
      </w:r>
    </w:p>
  </w:footnote>
  <w:footnote w:type="continuationSeparator" w:id="0">
    <w:p w14:paraId="1F245AB3" w14:textId="77777777" w:rsidR="001A16FC" w:rsidRDefault="001A16FC" w:rsidP="004010A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08C5C1" w14:textId="4EB5A16C" w:rsidR="00DC7E1F" w:rsidRDefault="00DC7E1F" w:rsidP="00DC7E1F">
    <w:pPr>
      <w:pStyle w:val="Zhlav"/>
      <w:pBdr>
        <w:bottom w:val="single" w:sz="4" w:space="1" w:color="auto"/>
      </w:pBdr>
      <w:tabs>
        <w:tab w:val="clear" w:pos="4536"/>
      </w:tabs>
      <w:spacing w:after="0"/>
      <w:ind w:right="-286" w:firstLine="851"/>
      <w:rPr>
        <w:sz w:val="16"/>
      </w:rPr>
    </w:pPr>
    <w:bookmarkStart w:id="76" w:name="_Hlk54265440"/>
    <w:bookmarkStart w:id="77" w:name="_Hlk54265441"/>
    <w:bookmarkStart w:id="78" w:name="_Hlk54265448"/>
    <w:bookmarkStart w:id="79" w:name="_Hlk54265449"/>
    <w:bookmarkStart w:id="80" w:name="_Hlk54265475"/>
    <w:bookmarkStart w:id="81" w:name="_Hlk54265476"/>
    <w:bookmarkStart w:id="82" w:name="_Hlk54265642"/>
    <w:bookmarkStart w:id="83" w:name="_Hlk54265643"/>
    <w:r>
      <w:rPr>
        <w:noProof/>
      </w:rPr>
      <w:drawing>
        <wp:anchor distT="0" distB="0" distL="114300" distR="114300" simplePos="0" relativeHeight="251669504" behindDoc="1" locked="0" layoutInCell="1" allowOverlap="1" wp14:anchorId="22235F39" wp14:editId="07A68406">
          <wp:simplePos x="0" y="0"/>
          <wp:positionH relativeFrom="column">
            <wp:posOffset>-31750</wp:posOffset>
          </wp:positionH>
          <wp:positionV relativeFrom="paragraph">
            <wp:posOffset>-102235</wp:posOffset>
          </wp:positionV>
          <wp:extent cx="467995" cy="217170"/>
          <wp:effectExtent l="0" t="0" r="8255" b="0"/>
          <wp:wrapNone/>
          <wp:docPr id="79" name="Obrázek 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7995" cy="217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>
      <w:rPr>
        <w:sz w:val="16"/>
      </w:rPr>
      <w:t>Trade</w:t>
    </w:r>
    <w:proofErr w:type="spellEnd"/>
    <w:r>
      <w:rPr>
        <w:sz w:val="16"/>
      </w:rPr>
      <w:t xml:space="preserve"> FIDES, </w:t>
    </w:r>
    <w:proofErr w:type="gramStart"/>
    <w:r>
      <w:rPr>
        <w:sz w:val="16"/>
      </w:rPr>
      <w:t>a.s</w:t>
    </w:r>
    <w:proofErr w:type="gramEnd"/>
    <w:r>
      <w:rPr>
        <w:sz w:val="16"/>
      </w:rPr>
      <w:tab/>
    </w:r>
    <w:r w:rsidR="00E76B4C">
      <w:rPr>
        <w:sz w:val="16"/>
      </w:rPr>
      <w:t>Technická zpráva</w:t>
    </w:r>
    <w:bookmarkEnd w:id="76"/>
    <w:bookmarkEnd w:id="77"/>
    <w:bookmarkEnd w:id="78"/>
    <w:bookmarkEnd w:id="79"/>
    <w:bookmarkEnd w:id="80"/>
    <w:bookmarkEnd w:id="81"/>
    <w:bookmarkEnd w:id="82"/>
    <w:bookmarkEnd w:id="83"/>
  </w:p>
  <w:p w14:paraId="2B46410C" w14:textId="77777777" w:rsidR="00000000" w:rsidRDefault="00000000"/>
  <w:p w14:paraId="71615BD3" w14:textId="77777777" w:rsidR="00000000" w:rsidRDefault="00000000"/>
  <w:p w14:paraId="56601D10" w14:textId="77777777" w:rsidR="00000000" w:rsidRDefault="00000000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931DB8" w14:textId="1010BA82" w:rsidR="00E408CC" w:rsidRDefault="00EB2CB3" w:rsidP="00EB2CB3">
    <w:pPr>
      <w:pStyle w:val="Zhlav"/>
      <w:tabs>
        <w:tab w:val="clear" w:pos="4536"/>
        <w:tab w:val="clear" w:pos="9072"/>
        <w:tab w:val="left" w:pos="1095"/>
      </w:tabs>
      <w:spacing w:after="5040"/>
    </w:pPr>
    <w:r>
      <w:rPr>
        <w:rFonts w:ascii="Verdana" w:hAnsi="Verdana"/>
        <w:noProof/>
        <w:color w:val="2F5496"/>
        <w:sz w:val="56"/>
        <w:szCs w:val="56"/>
      </w:rPr>
      <w:drawing>
        <wp:anchor distT="0" distB="0" distL="114300" distR="114300" simplePos="0" relativeHeight="251667456" behindDoc="1" locked="0" layoutInCell="1" allowOverlap="1" wp14:anchorId="4AF013C4" wp14:editId="7608BC7A">
          <wp:simplePos x="0" y="0"/>
          <wp:positionH relativeFrom="margin">
            <wp:align>left</wp:align>
          </wp:positionH>
          <wp:positionV relativeFrom="paragraph">
            <wp:posOffset>428625</wp:posOffset>
          </wp:positionV>
          <wp:extent cx="1645920" cy="1005840"/>
          <wp:effectExtent l="0" t="0" r="0" b="3810"/>
          <wp:wrapNone/>
          <wp:docPr id="81" name="Obrázek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005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6432" behindDoc="1" locked="1" layoutInCell="1" allowOverlap="1" wp14:anchorId="096E9F09" wp14:editId="48E6AA11">
          <wp:simplePos x="0" y="0"/>
          <wp:positionH relativeFrom="page">
            <wp:align>left</wp:align>
          </wp:positionH>
          <wp:positionV relativeFrom="page">
            <wp:posOffset>-2600325</wp:posOffset>
          </wp:positionV>
          <wp:extent cx="7564120" cy="7867650"/>
          <wp:effectExtent l="0" t="0" r="0" b="0"/>
          <wp:wrapNone/>
          <wp:docPr id="82" name="Obrázek 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8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6407"/>
                  <a:stretch>
                    <a:fillRect/>
                  </a:stretch>
                </pic:blipFill>
                <pic:spPr bwMode="auto">
                  <a:xfrm>
                    <a:off x="0" y="0"/>
                    <a:ext cx="7564120" cy="786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1D78EA"/>
    <w:multiLevelType w:val="hybridMultilevel"/>
    <w:tmpl w:val="E9A28DC2"/>
    <w:lvl w:ilvl="0" w:tplc="B094D41C">
      <w:start w:val="1"/>
      <w:numFmt w:val="bullet"/>
      <w:pStyle w:val="Odrky"/>
      <w:lvlText w:val=""/>
      <w:lvlJc w:val="left"/>
      <w:pPr>
        <w:tabs>
          <w:tab w:val="num" w:pos="340"/>
        </w:tabs>
        <w:ind w:left="340" w:hanging="340"/>
      </w:pPr>
      <w:rPr>
        <w:rFonts w:ascii="Wingdings 3" w:hAnsi="Wingdings 3" w:hint="default"/>
        <w:color w:val="EA5B0C" w:themeColor="accent1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DB7794"/>
    <w:multiLevelType w:val="hybridMultilevel"/>
    <w:tmpl w:val="AA96D2C2"/>
    <w:lvl w:ilvl="0" w:tplc="F79A69D6">
      <w:start w:val="1"/>
      <w:numFmt w:val="decimal"/>
      <w:pStyle w:val="Styl3"/>
      <w:lvlText w:val="%1.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5D2C7D"/>
    <w:multiLevelType w:val="hybridMultilevel"/>
    <w:tmpl w:val="FAA89010"/>
    <w:lvl w:ilvl="0" w:tplc="EE700460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69" w:hanging="360"/>
      </w:pPr>
      <w:rPr>
        <w:rFonts w:ascii="Marlett" w:hAnsi="Marlett" w:hint="default"/>
      </w:rPr>
    </w:lvl>
    <w:lvl w:ilvl="3" w:tplc="040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29" w:hanging="360"/>
      </w:pPr>
      <w:rPr>
        <w:rFonts w:ascii="Marlett" w:hAnsi="Marlett" w:hint="default"/>
      </w:rPr>
    </w:lvl>
    <w:lvl w:ilvl="6" w:tplc="040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189" w:hanging="360"/>
      </w:pPr>
      <w:rPr>
        <w:rFonts w:ascii="Marlett" w:hAnsi="Marlett" w:hint="default"/>
      </w:rPr>
    </w:lvl>
  </w:abstractNum>
  <w:abstractNum w:abstractNumId="3" w15:restartNumberingAfterBreak="0">
    <w:nsid w:val="1C9D65B5"/>
    <w:multiLevelType w:val="hybridMultilevel"/>
    <w:tmpl w:val="712C25D6"/>
    <w:lvl w:ilvl="0" w:tplc="EE2E0130">
      <w:start w:val="1"/>
      <w:numFmt w:val="decimal"/>
      <w:pStyle w:val="Styl2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FF7B3B"/>
    <w:multiLevelType w:val="hybridMultilevel"/>
    <w:tmpl w:val="2932EC2A"/>
    <w:lvl w:ilvl="0" w:tplc="EE70046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abstractNum w:abstractNumId="5" w15:restartNumberingAfterBreak="0">
    <w:nsid w:val="2EBD4600"/>
    <w:multiLevelType w:val="hybridMultilevel"/>
    <w:tmpl w:val="D9C4E324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434607F"/>
    <w:multiLevelType w:val="hybridMultilevel"/>
    <w:tmpl w:val="63702588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608C1B3E"/>
    <w:multiLevelType w:val="hybridMultilevel"/>
    <w:tmpl w:val="7F60143E"/>
    <w:lvl w:ilvl="0" w:tplc="EE70046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69" w:hanging="360"/>
      </w:pPr>
      <w:rPr>
        <w:rFonts w:ascii="Marlett" w:hAnsi="Marlett" w:hint="default"/>
      </w:rPr>
    </w:lvl>
    <w:lvl w:ilvl="3" w:tplc="040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29" w:hanging="360"/>
      </w:pPr>
      <w:rPr>
        <w:rFonts w:ascii="Marlett" w:hAnsi="Marlett" w:hint="default"/>
      </w:rPr>
    </w:lvl>
    <w:lvl w:ilvl="6" w:tplc="040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189" w:hanging="360"/>
      </w:pPr>
      <w:rPr>
        <w:rFonts w:ascii="Marlett" w:hAnsi="Marlett" w:hint="default"/>
      </w:rPr>
    </w:lvl>
  </w:abstractNum>
  <w:abstractNum w:abstractNumId="8" w15:restartNumberingAfterBreak="0">
    <w:nsid w:val="71940C7E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num w:numId="1" w16cid:durableId="1775051510">
    <w:abstractNumId w:val="0"/>
  </w:num>
  <w:num w:numId="2" w16cid:durableId="2042509963">
    <w:abstractNumId w:val="0"/>
    <w:lvlOverride w:ilvl="0">
      <w:startOverride w:val="1"/>
    </w:lvlOverride>
  </w:num>
  <w:num w:numId="3" w16cid:durableId="1195188688">
    <w:abstractNumId w:val="0"/>
    <w:lvlOverride w:ilvl="0">
      <w:startOverride w:val="1"/>
    </w:lvlOverride>
  </w:num>
  <w:num w:numId="4" w16cid:durableId="197937761">
    <w:abstractNumId w:val="0"/>
    <w:lvlOverride w:ilvl="0">
      <w:startOverride w:val="1"/>
    </w:lvlOverride>
  </w:num>
  <w:num w:numId="5" w16cid:durableId="1710956031">
    <w:abstractNumId w:val="0"/>
    <w:lvlOverride w:ilvl="0">
      <w:startOverride w:val="1"/>
    </w:lvlOverride>
  </w:num>
  <w:num w:numId="6" w16cid:durableId="730269972">
    <w:abstractNumId w:val="0"/>
    <w:lvlOverride w:ilvl="0">
      <w:startOverride w:val="1"/>
    </w:lvlOverride>
  </w:num>
  <w:num w:numId="7" w16cid:durableId="768045929">
    <w:abstractNumId w:val="8"/>
  </w:num>
  <w:num w:numId="8" w16cid:durableId="837580059">
    <w:abstractNumId w:val="3"/>
  </w:num>
  <w:num w:numId="9" w16cid:durableId="2133741207">
    <w:abstractNumId w:val="1"/>
  </w:num>
  <w:num w:numId="10" w16cid:durableId="553587887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1" w16cid:durableId="249658787">
    <w:abstractNumId w:val="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2" w16cid:durableId="66079550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3" w16cid:durableId="841773084">
    <w:abstractNumId w:val="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4" w16cid:durableId="1986928755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1D41"/>
    <w:rsid w:val="00003C4D"/>
    <w:rsid w:val="00006D32"/>
    <w:rsid w:val="000301A3"/>
    <w:rsid w:val="0005437B"/>
    <w:rsid w:val="00054511"/>
    <w:rsid w:val="00066B3C"/>
    <w:rsid w:val="000D1D41"/>
    <w:rsid w:val="000E2E7E"/>
    <w:rsid w:val="00114211"/>
    <w:rsid w:val="00114391"/>
    <w:rsid w:val="00152FDC"/>
    <w:rsid w:val="00156C9A"/>
    <w:rsid w:val="001707BB"/>
    <w:rsid w:val="00187657"/>
    <w:rsid w:val="001A16FC"/>
    <w:rsid w:val="001A60B5"/>
    <w:rsid w:val="00213898"/>
    <w:rsid w:val="0022003D"/>
    <w:rsid w:val="00230E37"/>
    <w:rsid w:val="0023266D"/>
    <w:rsid w:val="00294524"/>
    <w:rsid w:val="002C06B0"/>
    <w:rsid w:val="002C0FE4"/>
    <w:rsid w:val="002C1770"/>
    <w:rsid w:val="002D3C87"/>
    <w:rsid w:val="002D75F2"/>
    <w:rsid w:val="003123C0"/>
    <w:rsid w:val="00347324"/>
    <w:rsid w:val="003815E8"/>
    <w:rsid w:val="00383D41"/>
    <w:rsid w:val="00391506"/>
    <w:rsid w:val="003A31D5"/>
    <w:rsid w:val="003C7672"/>
    <w:rsid w:val="003D2E57"/>
    <w:rsid w:val="003E7C00"/>
    <w:rsid w:val="003F3208"/>
    <w:rsid w:val="003F4BDF"/>
    <w:rsid w:val="004010A7"/>
    <w:rsid w:val="00414A1B"/>
    <w:rsid w:val="0042001B"/>
    <w:rsid w:val="00432321"/>
    <w:rsid w:val="00451539"/>
    <w:rsid w:val="0047113A"/>
    <w:rsid w:val="00485C5E"/>
    <w:rsid w:val="004E556B"/>
    <w:rsid w:val="00503544"/>
    <w:rsid w:val="005068EB"/>
    <w:rsid w:val="00524801"/>
    <w:rsid w:val="00542302"/>
    <w:rsid w:val="0055793C"/>
    <w:rsid w:val="00563241"/>
    <w:rsid w:val="00590F92"/>
    <w:rsid w:val="005D3ABF"/>
    <w:rsid w:val="005F0A12"/>
    <w:rsid w:val="005F2054"/>
    <w:rsid w:val="00607A9F"/>
    <w:rsid w:val="006708B6"/>
    <w:rsid w:val="006A664F"/>
    <w:rsid w:val="006C4F02"/>
    <w:rsid w:val="006C4FF1"/>
    <w:rsid w:val="006E083E"/>
    <w:rsid w:val="006E6177"/>
    <w:rsid w:val="007066B2"/>
    <w:rsid w:val="007146F4"/>
    <w:rsid w:val="00722F92"/>
    <w:rsid w:val="00723EAD"/>
    <w:rsid w:val="00754160"/>
    <w:rsid w:val="00766E50"/>
    <w:rsid w:val="007856C6"/>
    <w:rsid w:val="00787207"/>
    <w:rsid w:val="007A478E"/>
    <w:rsid w:val="007A79A7"/>
    <w:rsid w:val="0080339B"/>
    <w:rsid w:val="00823FF3"/>
    <w:rsid w:val="00833ABF"/>
    <w:rsid w:val="008355D6"/>
    <w:rsid w:val="008368F1"/>
    <w:rsid w:val="00837C5B"/>
    <w:rsid w:val="00870FE3"/>
    <w:rsid w:val="00885741"/>
    <w:rsid w:val="008B5F3F"/>
    <w:rsid w:val="008C3B1F"/>
    <w:rsid w:val="008C7BAA"/>
    <w:rsid w:val="00973937"/>
    <w:rsid w:val="009804A7"/>
    <w:rsid w:val="009A1E2B"/>
    <w:rsid w:val="009B7C14"/>
    <w:rsid w:val="009C272F"/>
    <w:rsid w:val="009C5AA8"/>
    <w:rsid w:val="009D6746"/>
    <w:rsid w:val="00A03444"/>
    <w:rsid w:val="00A132F9"/>
    <w:rsid w:val="00A163C7"/>
    <w:rsid w:val="00A25BBB"/>
    <w:rsid w:val="00A370DF"/>
    <w:rsid w:val="00A755D6"/>
    <w:rsid w:val="00A75FE0"/>
    <w:rsid w:val="00A92A34"/>
    <w:rsid w:val="00A94681"/>
    <w:rsid w:val="00AF760E"/>
    <w:rsid w:val="00B01461"/>
    <w:rsid w:val="00B0616D"/>
    <w:rsid w:val="00B5300E"/>
    <w:rsid w:val="00B63060"/>
    <w:rsid w:val="00B64223"/>
    <w:rsid w:val="00B857A3"/>
    <w:rsid w:val="00BA40CE"/>
    <w:rsid w:val="00BD0426"/>
    <w:rsid w:val="00BE1132"/>
    <w:rsid w:val="00BF6F63"/>
    <w:rsid w:val="00C17BCC"/>
    <w:rsid w:val="00C22ADE"/>
    <w:rsid w:val="00C418A1"/>
    <w:rsid w:val="00C46120"/>
    <w:rsid w:val="00C5601D"/>
    <w:rsid w:val="00C7182E"/>
    <w:rsid w:val="00CB6AF1"/>
    <w:rsid w:val="00CC3F67"/>
    <w:rsid w:val="00CC6643"/>
    <w:rsid w:val="00CF68E9"/>
    <w:rsid w:val="00D117E6"/>
    <w:rsid w:val="00D20B4A"/>
    <w:rsid w:val="00D23ABC"/>
    <w:rsid w:val="00D2764A"/>
    <w:rsid w:val="00D42429"/>
    <w:rsid w:val="00D4381C"/>
    <w:rsid w:val="00D54EBA"/>
    <w:rsid w:val="00D551C2"/>
    <w:rsid w:val="00D60A49"/>
    <w:rsid w:val="00D87ACC"/>
    <w:rsid w:val="00D90B16"/>
    <w:rsid w:val="00DB083A"/>
    <w:rsid w:val="00DB3C7F"/>
    <w:rsid w:val="00DB3E45"/>
    <w:rsid w:val="00DC5746"/>
    <w:rsid w:val="00DC7E1F"/>
    <w:rsid w:val="00DD1CD0"/>
    <w:rsid w:val="00DE7AE4"/>
    <w:rsid w:val="00DF3B40"/>
    <w:rsid w:val="00E12A76"/>
    <w:rsid w:val="00E217C8"/>
    <w:rsid w:val="00E2668D"/>
    <w:rsid w:val="00E375E9"/>
    <w:rsid w:val="00E408CC"/>
    <w:rsid w:val="00E65F8A"/>
    <w:rsid w:val="00E76B4C"/>
    <w:rsid w:val="00E820B1"/>
    <w:rsid w:val="00E93946"/>
    <w:rsid w:val="00EB1A79"/>
    <w:rsid w:val="00EB2CB3"/>
    <w:rsid w:val="00ED42A1"/>
    <w:rsid w:val="00F16777"/>
    <w:rsid w:val="00FA2F8D"/>
    <w:rsid w:val="00FC3DA6"/>
    <w:rsid w:val="00FF1C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0DF54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Text"/>
    <w:qFormat/>
    <w:rsid w:val="00AF760E"/>
    <w:pPr>
      <w:spacing w:after="120" w:line="264" w:lineRule="auto"/>
    </w:pPr>
    <w:rPr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3E7C00"/>
    <w:pPr>
      <w:keepNext/>
      <w:keepLines/>
      <w:numPr>
        <w:numId w:val="7"/>
      </w:numPr>
      <w:spacing w:before="120"/>
      <w:ind w:left="431" w:hanging="431"/>
      <w:outlineLvl w:val="0"/>
    </w:pPr>
    <w:rPr>
      <w:rFonts w:asciiTheme="majorHAnsi" w:eastAsiaTheme="majorEastAsia" w:hAnsiTheme="majorHAnsi" w:cstheme="majorBidi"/>
      <w:b/>
      <w:bCs/>
      <w:sz w:val="32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E7C00"/>
    <w:pPr>
      <w:keepNext/>
      <w:keepLines/>
      <w:numPr>
        <w:ilvl w:val="1"/>
        <w:numId w:val="7"/>
      </w:numPr>
      <w:spacing w:before="120"/>
      <w:ind w:left="578" w:hanging="578"/>
      <w:outlineLvl w:val="1"/>
    </w:pPr>
    <w:rPr>
      <w:rFonts w:asciiTheme="majorHAnsi" w:eastAsiaTheme="majorEastAsia" w:hAnsiTheme="majorHAnsi" w:cstheme="majorBidi"/>
      <w:b/>
      <w:bCs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3E7C00"/>
    <w:pPr>
      <w:keepNext/>
      <w:keepLines/>
      <w:numPr>
        <w:ilvl w:val="2"/>
        <w:numId w:val="7"/>
      </w:numPr>
      <w:outlineLvl w:val="2"/>
    </w:pPr>
    <w:rPr>
      <w:rFonts w:asciiTheme="majorHAnsi" w:eastAsiaTheme="majorEastAsia" w:hAnsiTheme="majorHAnsi" w:cstheme="majorBidi"/>
      <w:b/>
      <w:bCs/>
      <w:sz w:val="32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B64223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EA5B0C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rsid w:val="005F2054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AE4309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F2054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742C06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F2054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742C06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F2054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F2054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B3E45"/>
    <w:pPr>
      <w:tabs>
        <w:tab w:val="center" w:pos="4536"/>
        <w:tab w:val="right" w:pos="9072"/>
      </w:tabs>
      <w:spacing w:line="240" w:lineRule="auto"/>
      <w:contextualSpacing/>
    </w:pPr>
  </w:style>
  <w:style w:type="character" w:customStyle="1" w:styleId="ZhlavChar">
    <w:name w:val="Záhlaví Char"/>
    <w:basedOn w:val="Standardnpsmoodstavce"/>
    <w:link w:val="Zhlav"/>
    <w:uiPriority w:val="99"/>
    <w:rsid w:val="00DB3E45"/>
  </w:style>
  <w:style w:type="paragraph" w:styleId="Zpat">
    <w:name w:val="footer"/>
    <w:basedOn w:val="Normln"/>
    <w:link w:val="ZpatChar"/>
    <w:uiPriority w:val="99"/>
    <w:unhideWhenUsed/>
    <w:rsid w:val="00DB3E45"/>
    <w:pPr>
      <w:tabs>
        <w:tab w:val="center" w:pos="4536"/>
        <w:tab w:val="right" w:pos="9072"/>
      </w:tabs>
      <w:contextualSpacing/>
    </w:pPr>
    <w:rPr>
      <w:sz w:val="16"/>
    </w:rPr>
  </w:style>
  <w:style w:type="character" w:customStyle="1" w:styleId="ZpatChar">
    <w:name w:val="Zápatí Char"/>
    <w:basedOn w:val="Standardnpsmoodstavce"/>
    <w:link w:val="Zpat"/>
    <w:uiPriority w:val="99"/>
    <w:rsid w:val="00DB3E45"/>
    <w:rPr>
      <w:sz w:val="16"/>
    </w:rPr>
  </w:style>
  <w:style w:type="character" w:styleId="Hypertextovodkaz">
    <w:name w:val="Hyperlink"/>
    <w:basedOn w:val="Standardnpsmoodstavce"/>
    <w:uiPriority w:val="99"/>
    <w:unhideWhenUsed/>
    <w:rsid w:val="004010A7"/>
    <w:rPr>
      <w:color w:val="EA5B0C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66B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6B3C"/>
    <w:rPr>
      <w:rFonts w:ascii="Tahoma" w:hAnsi="Tahoma" w:cs="Tahoma"/>
      <w:color w:val="4D4948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3E7C00"/>
    <w:rPr>
      <w:rFonts w:asciiTheme="majorHAnsi" w:eastAsiaTheme="majorEastAsia" w:hAnsiTheme="majorHAnsi" w:cstheme="majorBidi"/>
      <w:b/>
      <w:bCs/>
      <w:sz w:val="32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3E7C00"/>
    <w:rPr>
      <w:rFonts w:asciiTheme="majorHAnsi" w:eastAsiaTheme="majorEastAsia" w:hAnsiTheme="majorHAnsi" w:cstheme="majorBidi"/>
      <w:b/>
      <w:bCs/>
      <w:sz w:val="32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3E7C00"/>
    <w:rPr>
      <w:rFonts w:asciiTheme="majorHAnsi" w:eastAsiaTheme="majorEastAsia" w:hAnsiTheme="majorHAnsi" w:cstheme="majorBidi"/>
      <w:b/>
      <w:bCs/>
      <w:sz w:val="32"/>
    </w:rPr>
  </w:style>
  <w:style w:type="table" w:styleId="Mkatabulky">
    <w:name w:val="Table Grid"/>
    <w:basedOn w:val="Normlntabulka"/>
    <w:uiPriority w:val="59"/>
    <w:rsid w:val="00DB3C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aliases w:val="Tučně"/>
    <w:uiPriority w:val="22"/>
    <w:qFormat/>
    <w:rsid w:val="00D87ACC"/>
    <w:rPr>
      <w:b/>
      <w:bCs/>
    </w:rPr>
  </w:style>
  <w:style w:type="character" w:styleId="Zdraznn">
    <w:name w:val="Emphasis"/>
    <w:aliases w:val="Kurzíva"/>
    <w:uiPriority w:val="2"/>
    <w:rsid w:val="00D87ACC"/>
    <w:rPr>
      <w:i/>
      <w:iCs/>
    </w:rPr>
  </w:style>
  <w:style w:type="paragraph" w:styleId="Nzev">
    <w:name w:val="Title"/>
    <w:basedOn w:val="Normln"/>
    <w:next w:val="Normln"/>
    <w:link w:val="NzevChar"/>
    <w:uiPriority w:val="11"/>
    <w:qFormat/>
    <w:rsid w:val="006C4F02"/>
    <w:pPr>
      <w:pBdr>
        <w:bottom w:val="single" w:sz="8" w:space="4" w:color="7F7F7F" w:themeColor="text1" w:themeTint="80"/>
      </w:pBdr>
      <w:spacing w:after="220" w:line="240" w:lineRule="auto"/>
      <w:contextualSpacing/>
    </w:pPr>
    <w:rPr>
      <w:rFonts w:asciiTheme="majorHAnsi" w:eastAsiaTheme="majorEastAsia" w:hAnsiTheme="majorHAnsi" w:cstheme="majorBidi"/>
      <w:b/>
      <w:color w:val="EA5B0C" w:themeColor="accent1"/>
      <w:spacing w:val="5"/>
      <w:kern w:val="28"/>
      <w:sz w:val="32"/>
      <w:szCs w:val="52"/>
    </w:rPr>
  </w:style>
  <w:style w:type="character" w:customStyle="1" w:styleId="NzevChar">
    <w:name w:val="Název Char"/>
    <w:basedOn w:val="Standardnpsmoodstavce"/>
    <w:link w:val="Nzev"/>
    <w:uiPriority w:val="11"/>
    <w:rsid w:val="00A03444"/>
    <w:rPr>
      <w:rFonts w:asciiTheme="majorHAnsi" w:eastAsiaTheme="majorEastAsia" w:hAnsiTheme="majorHAnsi" w:cstheme="majorBidi"/>
      <w:b/>
      <w:color w:val="EA5B0C" w:themeColor="accent1"/>
      <w:spacing w:val="5"/>
      <w:kern w:val="28"/>
      <w:sz w:val="32"/>
      <w:szCs w:val="52"/>
    </w:rPr>
  </w:style>
  <w:style w:type="paragraph" w:styleId="Podnadpis">
    <w:name w:val="Subtitle"/>
    <w:basedOn w:val="Normln"/>
    <w:next w:val="Normln"/>
    <w:link w:val="PodnadpisChar"/>
    <w:uiPriority w:val="12"/>
    <w:rsid w:val="00D90B16"/>
    <w:pPr>
      <w:numPr>
        <w:ilvl w:val="1"/>
      </w:numPr>
    </w:pPr>
    <w:rPr>
      <w:rFonts w:asciiTheme="majorHAnsi" w:eastAsiaTheme="majorEastAsia" w:hAnsiTheme="majorHAnsi" w:cstheme="majorBidi"/>
      <w:i/>
      <w:iCs/>
      <w:color w:val="504D4D" w:themeColor="text2"/>
      <w:szCs w:val="24"/>
    </w:rPr>
  </w:style>
  <w:style w:type="character" w:customStyle="1" w:styleId="PodnadpisChar">
    <w:name w:val="Podnadpis Char"/>
    <w:basedOn w:val="Standardnpsmoodstavce"/>
    <w:link w:val="Podnadpis"/>
    <w:uiPriority w:val="12"/>
    <w:rsid w:val="00A03444"/>
    <w:rPr>
      <w:rFonts w:asciiTheme="majorHAnsi" w:eastAsiaTheme="majorEastAsia" w:hAnsiTheme="majorHAnsi" w:cstheme="majorBidi"/>
      <w:i/>
      <w:iCs/>
      <w:color w:val="504D4D" w:themeColor="text2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B64223"/>
    <w:rPr>
      <w:rFonts w:asciiTheme="majorHAnsi" w:eastAsiaTheme="majorEastAsia" w:hAnsiTheme="majorHAnsi" w:cstheme="majorBidi"/>
      <w:b/>
      <w:bCs/>
      <w:i/>
      <w:iCs/>
      <w:color w:val="EA5B0C" w:themeColor="accent1"/>
      <w:sz w:val="20"/>
    </w:rPr>
  </w:style>
  <w:style w:type="paragraph" w:styleId="Bezmezer">
    <w:name w:val="No Spacing"/>
    <w:next w:val="Normln"/>
    <w:uiPriority w:val="1"/>
    <w:rsid w:val="00451539"/>
    <w:pPr>
      <w:spacing w:after="0"/>
    </w:pPr>
  </w:style>
  <w:style w:type="paragraph" w:customStyle="1" w:styleId="Adresa">
    <w:name w:val="Adresa"/>
    <w:basedOn w:val="Normln"/>
    <w:link w:val="AdresaChar"/>
    <w:uiPriority w:val="4"/>
    <w:rsid w:val="003D2E57"/>
    <w:pPr>
      <w:framePr w:wrap="around" w:vAnchor="page" w:hAnchor="page" w:x="6011" w:y="2099"/>
      <w:spacing w:line="240" w:lineRule="auto"/>
      <w:ind w:left="284"/>
      <w:suppressOverlap/>
    </w:pPr>
  </w:style>
  <w:style w:type="paragraph" w:customStyle="1" w:styleId="Tabzhlav">
    <w:name w:val="Tab záhlaví"/>
    <w:basedOn w:val="Normln"/>
    <w:link w:val="TabzhlavChar"/>
    <w:uiPriority w:val="13"/>
    <w:rsid w:val="00451539"/>
    <w:pPr>
      <w:spacing w:line="240" w:lineRule="auto"/>
      <w:ind w:left="57" w:right="57"/>
    </w:pPr>
    <w:rPr>
      <w:smallCaps/>
    </w:rPr>
  </w:style>
  <w:style w:type="character" w:customStyle="1" w:styleId="AdresaChar">
    <w:name w:val="Adresa Char"/>
    <w:basedOn w:val="Standardnpsmoodstavce"/>
    <w:link w:val="Adresa"/>
    <w:uiPriority w:val="4"/>
    <w:rsid w:val="00E2668D"/>
  </w:style>
  <w:style w:type="paragraph" w:customStyle="1" w:styleId="Tabtext">
    <w:name w:val="Tab text"/>
    <w:basedOn w:val="Normln"/>
    <w:link w:val="TabtextChar"/>
    <w:uiPriority w:val="14"/>
    <w:qFormat/>
    <w:rsid w:val="00451539"/>
    <w:pPr>
      <w:spacing w:line="240" w:lineRule="auto"/>
      <w:ind w:left="57" w:right="57"/>
    </w:pPr>
    <w:rPr>
      <w:lang w:val="en-US"/>
    </w:rPr>
  </w:style>
  <w:style w:type="character" w:customStyle="1" w:styleId="TabzhlavChar">
    <w:name w:val="Tab záhlaví Char"/>
    <w:basedOn w:val="Standardnpsmoodstavce"/>
    <w:link w:val="Tabzhlav"/>
    <w:uiPriority w:val="13"/>
    <w:rsid w:val="00D90B16"/>
    <w:rPr>
      <w:smallCaps/>
    </w:rPr>
  </w:style>
  <w:style w:type="character" w:customStyle="1" w:styleId="TabtextChar">
    <w:name w:val="Tab text Char"/>
    <w:basedOn w:val="Standardnpsmoodstavce"/>
    <w:link w:val="Tabtext"/>
    <w:uiPriority w:val="14"/>
    <w:rsid w:val="00D90B16"/>
    <w:rPr>
      <w:lang w:val="en-US"/>
    </w:rPr>
  </w:style>
  <w:style w:type="character" w:customStyle="1" w:styleId="Tunakurzva">
    <w:name w:val="Tučně a kurzíva"/>
    <w:uiPriority w:val="3"/>
    <w:rsid w:val="00E2668D"/>
    <w:rPr>
      <w:b/>
      <w:i/>
    </w:rPr>
  </w:style>
  <w:style w:type="character" w:styleId="slostrnky">
    <w:name w:val="page number"/>
    <w:basedOn w:val="Standardnpsmoodstavce"/>
    <w:uiPriority w:val="99"/>
    <w:rsid w:val="00DD1CD0"/>
    <w:rPr>
      <w:color w:val="EA5B0C" w:themeColor="accent1"/>
      <w:sz w:val="22"/>
    </w:rPr>
  </w:style>
  <w:style w:type="paragraph" w:styleId="Odstavecseseznamem">
    <w:name w:val="List Paragraph"/>
    <w:basedOn w:val="Normln"/>
    <w:link w:val="OdstavecseseznamemChar"/>
    <w:uiPriority w:val="34"/>
    <w:rsid w:val="00A03444"/>
    <w:pPr>
      <w:ind w:left="720"/>
      <w:contextualSpacing/>
    </w:pPr>
  </w:style>
  <w:style w:type="paragraph" w:customStyle="1" w:styleId="Odrky">
    <w:name w:val="Odrážky"/>
    <w:basedOn w:val="Odstavecseseznamem"/>
    <w:link w:val="OdrkyChar"/>
    <w:uiPriority w:val="10"/>
    <w:qFormat/>
    <w:rsid w:val="00A03444"/>
    <w:pPr>
      <w:numPr>
        <w:numId w:val="1"/>
      </w:numPr>
    </w:p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A03444"/>
  </w:style>
  <w:style w:type="character" w:customStyle="1" w:styleId="OdrkyChar">
    <w:name w:val="Odrážky Char"/>
    <w:basedOn w:val="OdstavecseseznamemChar"/>
    <w:link w:val="Odrky"/>
    <w:uiPriority w:val="10"/>
    <w:rsid w:val="00A03444"/>
  </w:style>
  <w:style w:type="character" w:styleId="Nevyeenzmnka">
    <w:name w:val="Unresolved Mention"/>
    <w:basedOn w:val="Standardnpsmoodstavce"/>
    <w:uiPriority w:val="99"/>
    <w:semiHidden/>
    <w:unhideWhenUsed/>
    <w:rsid w:val="00BA40CE"/>
    <w:rPr>
      <w:color w:val="605E5C"/>
      <w:shd w:val="clear" w:color="auto" w:fill="E1DFDD"/>
    </w:rPr>
  </w:style>
  <w:style w:type="paragraph" w:styleId="Nadpisobsahu">
    <w:name w:val="TOC Heading"/>
    <w:basedOn w:val="Nadpis1"/>
    <w:next w:val="Normln"/>
    <w:link w:val="NadpisobsahuChar"/>
    <w:uiPriority w:val="39"/>
    <w:unhideWhenUsed/>
    <w:qFormat/>
    <w:rsid w:val="006708B6"/>
    <w:pPr>
      <w:spacing w:before="240" w:line="259" w:lineRule="auto"/>
      <w:jc w:val="both"/>
      <w:outlineLvl w:val="9"/>
    </w:pPr>
    <w:rPr>
      <w:rFonts w:ascii="Calibri Light" w:eastAsia="Times New Roman" w:hAnsi="Calibri Light" w:cs="Times New Roman"/>
      <w:b w:val="0"/>
      <w:bCs w:val="0"/>
      <w:color w:val="2F5496"/>
      <w:szCs w:val="32"/>
      <w:lang w:eastAsia="cs-CZ"/>
    </w:rPr>
  </w:style>
  <w:style w:type="character" w:customStyle="1" w:styleId="NadpisobsahuChar">
    <w:name w:val="Nadpis obsahu Char"/>
    <w:basedOn w:val="Nadpis1Char"/>
    <w:link w:val="Nadpisobsahu"/>
    <w:uiPriority w:val="39"/>
    <w:rsid w:val="006708B6"/>
    <w:rPr>
      <w:rFonts w:ascii="Calibri Light" w:eastAsia="Times New Roman" w:hAnsi="Calibri Light" w:cs="Times New Roman"/>
      <w:b w:val="0"/>
      <w:bCs w:val="0"/>
      <w:color w:val="2F5496"/>
      <w:sz w:val="32"/>
      <w:szCs w:val="32"/>
      <w:lang w:eastAsia="cs-CZ"/>
    </w:rPr>
  </w:style>
  <w:style w:type="paragraph" w:customStyle="1" w:styleId="Styl1">
    <w:name w:val="Styl1"/>
    <w:basedOn w:val="Nadpisobsahu"/>
    <w:link w:val="Styl1Char"/>
    <w:autoRedefine/>
    <w:rsid w:val="005F2054"/>
    <w:pPr>
      <w:keepNext w:val="0"/>
      <w:keepLines w:val="0"/>
      <w:spacing w:before="120"/>
    </w:pPr>
    <w:rPr>
      <w:rFonts w:asciiTheme="minorHAnsi" w:hAnsiTheme="minorHAnsi"/>
      <w:b/>
      <w:bCs/>
      <w:color w:val="auto"/>
    </w:rPr>
  </w:style>
  <w:style w:type="paragraph" w:customStyle="1" w:styleId="Styl2">
    <w:name w:val="Styl2"/>
    <w:basedOn w:val="Styl1"/>
    <w:link w:val="Styl2Char"/>
    <w:autoRedefine/>
    <w:rsid w:val="00C5601D"/>
    <w:pPr>
      <w:numPr>
        <w:numId w:val="8"/>
      </w:numPr>
      <w:spacing w:line="240" w:lineRule="auto"/>
      <w:ind w:left="0" w:firstLine="0"/>
      <w:jc w:val="left"/>
    </w:pPr>
  </w:style>
  <w:style w:type="character" w:customStyle="1" w:styleId="Styl1Char">
    <w:name w:val="Styl1 Char"/>
    <w:basedOn w:val="NadpisobsahuChar"/>
    <w:link w:val="Styl1"/>
    <w:rsid w:val="005F2054"/>
    <w:rPr>
      <w:rFonts w:ascii="Calibri Light" w:eastAsia="Times New Roman" w:hAnsi="Calibri Light" w:cs="Times New Roman"/>
      <w:b/>
      <w:bCs/>
      <w:color w:val="2F5496"/>
      <w:sz w:val="32"/>
      <w:szCs w:val="32"/>
      <w:lang w:eastAsia="cs-CZ"/>
    </w:rPr>
  </w:style>
  <w:style w:type="paragraph" w:customStyle="1" w:styleId="Styl3">
    <w:name w:val="Styl3"/>
    <w:basedOn w:val="Styl2"/>
    <w:link w:val="Styl3Char"/>
    <w:autoRedefine/>
    <w:rsid w:val="00C5601D"/>
    <w:pPr>
      <w:numPr>
        <w:numId w:val="9"/>
      </w:numPr>
      <w:ind w:left="0" w:firstLine="0"/>
    </w:pPr>
  </w:style>
  <w:style w:type="character" w:customStyle="1" w:styleId="Styl2Char">
    <w:name w:val="Styl2 Char"/>
    <w:basedOn w:val="Standardnpsmoodstavce"/>
    <w:link w:val="Styl2"/>
    <w:rsid w:val="00C5601D"/>
    <w:rPr>
      <w:rFonts w:eastAsia="Times New Roman" w:cs="Times New Roman"/>
      <w:b/>
      <w:bCs/>
      <w:sz w:val="32"/>
      <w:szCs w:val="32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F2054"/>
    <w:rPr>
      <w:rFonts w:asciiTheme="majorHAnsi" w:eastAsiaTheme="majorEastAsia" w:hAnsiTheme="majorHAnsi" w:cstheme="majorBidi"/>
      <w:color w:val="AE4309" w:themeColor="accent1" w:themeShade="BF"/>
      <w:sz w:val="24"/>
    </w:rPr>
  </w:style>
  <w:style w:type="character" w:customStyle="1" w:styleId="Styl3Char">
    <w:name w:val="Styl3 Char"/>
    <w:basedOn w:val="Styl2Char"/>
    <w:link w:val="Styl3"/>
    <w:rsid w:val="00C5601D"/>
    <w:rPr>
      <w:rFonts w:eastAsia="Times New Roman" w:cs="Times New Roman"/>
      <w:b/>
      <w:bCs/>
      <w:sz w:val="32"/>
      <w:szCs w:val="32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F2054"/>
    <w:rPr>
      <w:rFonts w:asciiTheme="majorHAnsi" w:eastAsiaTheme="majorEastAsia" w:hAnsiTheme="majorHAnsi" w:cstheme="majorBidi"/>
      <w:color w:val="742C06" w:themeColor="accent1" w:themeShade="7F"/>
      <w:sz w:val="24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F2054"/>
    <w:rPr>
      <w:rFonts w:asciiTheme="majorHAnsi" w:eastAsiaTheme="majorEastAsia" w:hAnsiTheme="majorHAnsi" w:cstheme="majorBidi"/>
      <w:i/>
      <w:iCs/>
      <w:color w:val="742C06" w:themeColor="accent1" w:themeShade="7F"/>
      <w:sz w:val="24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F205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F205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Obsah1">
    <w:name w:val="toc 1"/>
    <w:basedOn w:val="Normln"/>
    <w:next w:val="Normln"/>
    <w:autoRedefine/>
    <w:uiPriority w:val="39"/>
    <w:unhideWhenUsed/>
    <w:rsid w:val="003E7C00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3E7C00"/>
    <w:pPr>
      <w:spacing w:after="100"/>
      <w:ind w:left="240"/>
    </w:pPr>
  </w:style>
  <w:style w:type="paragraph" w:styleId="Obsah3">
    <w:name w:val="toc 3"/>
    <w:basedOn w:val="Normln"/>
    <w:next w:val="Normln"/>
    <w:autoRedefine/>
    <w:uiPriority w:val="39"/>
    <w:unhideWhenUsed/>
    <w:rsid w:val="003E7C00"/>
    <w:pPr>
      <w:spacing w:after="100"/>
      <w:ind w:left="480"/>
    </w:pPr>
  </w:style>
  <w:style w:type="paragraph" w:customStyle="1" w:styleId="Odstavec">
    <w:name w:val="Odstavec"/>
    <w:basedOn w:val="Normln"/>
    <w:link w:val="OdstavecChar"/>
    <w:qFormat/>
    <w:rsid w:val="00722F92"/>
    <w:pPr>
      <w:spacing w:after="60" w:line="276" w:lineRule="auto"/>
      <w:ind w:firstLine="709"/>
      <w:jc w:val="both"/>
    </w:pPr>
    <w:rPr>
      <w:rFonts w:ascii="Tahoma" w:eastAsia="Times New Roman" w:hAnsi="Tahoma" w:cs="Times New Roman"/>
      <w:sz w:val="20"/>
      <w:lang w:val="en-US" w:eastAsia="x-none"/>
    </w:rPr>
  </w:style>
  <w:style w:type="character" w:customStyle="1" w:styleId="OdstavecChar">
    <w:name w:val="Odstavec Char"/>
    <w:link w:val="Odstavec"/>
    <w:locked/>
    <w:rsid w:val="00722F92"/>
    <w:rPr>
      <w:rFonts w:ascii="Tahoma" w:eastAsia="Times New Roman" w:hAnsi="Tahoma" w:cs="Times New Roman"/>
      <w:sz w:val="20"/>
      <w:lang w:val="en-US" w:eastAsia="x-none"/>
    </w:rPr>
  </w:style>
  <w:style w:type="paragraph" w:customStyle="1" w:styleId="Default">
    <w:name w:val="Default"/>
    <w:rsid w:val="00722F92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Marketing\CID_vzory%20dokument&#367;\&#353;ablony_office\oXy_hlavickovy_papir_okenko.dotx" TargetMode="External"/></Relationships>
</file>

<file path=word/theme/theme1.xml><?xml version="1.0" encoding="utf-8"?>
<a:theme xmlns:a="http://schemas.openxmlformats.org/drawingml/2006/main" name="Motiv systému Office">
  <a:themeElements>
    <a:clrScheme name="Oxy">
      <a:dk1>
        <a:sysClr val="windowText" lastClr="000000"/>
      </a:dk1>
      <a:lt1>
        <a:sysClr val="window" lastClr="FFFFFF"/>
      </a:lt1>
      <a:dk2>
        <a:srgbClr val="504D4D"/>
      </a:dk2>
      <a:lt2>
        <a:srgbClr val="FFFFFF"/>
      </a:lt2>
      <a:accent1>
        <a:srgbClr val="EA5B0C"/>
      </a:accent1>
      <a:accent2>
        <a:srgbClr val="504D4D"/>
      </a:accent2>
      <a:accent3>
        <a:srgbClr val="CDCDCD"/>
      </a:accent3>
      <a:accent4>
        <a:srgbClr val="F3F3F3"/>
      </a:accent4>
      <a:accent5>
        <a:srgbClr val="00B944"/>
      </a:accent5>
      <a:accent6>
        <a:srgbClr val="0E54B9"/>
      </a:accent6>
      <a:hlink>
        <a:srgbClr val="EA5B0C"/>
      </a:hlink>
      <a:folHlink>
        <a:srgbClr val="EA5B0C"/>
      </a:folHlink>
    </a:clrScheme>
    <a:fontScheme name="Složený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14B76E-ED73-4711-B63B-105E8751B0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oXy_hlavickovy_papir_okenko</Template>
  <TotalTime>0</TotalTime>
  <Pages>8</Pages>
  <Words>1873</Words>
  <Characters>11055</Characters>
  <Application>Microsoft Office Word</Application>
  <DocSecurity>0</DocSecurity>
  <Lines>92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12903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2022-11-03T14:28:00Z</dcterms:created>
  <dcterms:modified xsi:type="dcterms:W3CDTF">2022-11-03T14:28:00Z</dcterms:modified>
</cp:coreProperties>
</file>